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F87269" w14:paraId="63F604E5" w14:textId="77777777" w:rsidTr="008923F4">
        <w:trPr>
          <w:trHeight w:val="2697"/>
        </w:trPr>
        <w:tc>
          <w:tcPr>
            <w:tcW w:w="10490" w:type="dxa"/>
          </w:tcPr>
          <w:p w14:paraId="63F604E4" w14:textId="77777777" w:rsidR="00F87269" w:rsidRDefault="00F87269"/>
        </w:tc>
      </w:tr>
      <w:tr w:rsidR="00F87269" w14:paraId="63F604E8" w14:textId="77777777" w:rsidTr="008923F4">
        <w:trPr>
          <w:trHeight w:val="2692"/>
        </w:trPr>
        <w:tc>
          <w:tcPr>
            <w:tcW w:w="10490" w:type="dxa"/>
          </w:tcPr>
          <w:p w14:paraId="6669F7E3" w14:textId="03063BE8" w:rsidR="00BF541E" w:rsidRPr="00BF541E" w:rsidRDefault="00465FF4" w:rsidP="00BF541E">
            <w:pPr>
              <w:pStyle w:val="Orangehorizontalline"/>
              <w:rPr>
                <w:b/>
                <w:bCs/>
                <w:color w:val="FA4616" w:themeColor="accent1"/>
                <w:sz w:val="52"/>
                <w:szCs w:val="28"/>
              </w:rPr>
            </w:pPr>
            <w:r>
              <w:rPr>
                <w:b/>
                <w:bCs/>
                <w:color w:val="FA4616" w:themeColor="accent1"/>
                <w:sz w:val="52"/>
                <w:szCs w:val="28"/>
              </w:rPr>
              <w:t xml:space="preserve">GDN Collaborative </w:t>
            </w:r>
            <w:r w:rsidR="00BF541E" w:rsidRPr="00BF541E">
              <w:rPr>
                <w:b/>
                <w:bCs/>
                <w:color w:val="FA4616" w:themeColor="accent1"/>
                <w:sz w:val="52"/>
                <w:szCs w:val="28"/>
              </w:rPr>
              <w:t>Vulnerability &amp; Carbon Monoxide Allowance (VCMA)</w:t>
            </w:r>
          </w:p>
          <w:p w14:paraId="7228702E" w14:textId="77777777" w:rsidR="00BF541E" w:rsidRDefault="00BF541E" w:rsidP="00BF541E">
            <w:pPr>
              <w:pStyle w:val="Orangehorizontalline"/>
            </w:pPr>
          </w:p>
          <w:p w14:paraId="63F604E6" w14:textId="0A57A200" w:rsidR="00F87269" w:rsidRPr="00BF541E" w:rsidRDefault="00BF541E" w:rsidP="00BF541E">
            <w:pPr>
              <w:pStyle w:val="Orangehorizontalline"/>
              <w:rPr>
                <w:color w:val="auto"/>
                <w:sz w:val="48"/>
                <w:szCs w:val="16"/>
              </w:rPr>
            </w:pPr>
            <w:r w:rsidRPr="00BF541E">
              <w:rPr>
                <w:color w:val="auto"/>
                <w:sz w:val="48"/>
                <w:szCs w:val="16"/>
              </w:rPr>
              <w:t>Project Eligibility Assessment (PEA)</w:t>
            </w:r>
          </w:p>
          <w:p w14:paraId="63F604E7" w14:textId="63B63A4A" w:rsidR="00296FC7" w:rsidRDefault="008F00C7" w:rsidP="008923F4">
            <w:pPr>
              <w:pStyle w:val="Orangehorizontalline"/>
              <w:ind w:right="137"/>
            </w:pPr>
            <w:r>
              <w:t xml:space="preserve">Cost of Living Project </w:t>
            </w:r>
            <w:r w:rsidR="00284C75">
              <w:t>- YMCA</w:t>
            </w:r>
          </w:p>
        </w:tc>
      </w:tr>
      <w:tr w:rsidR="00F87269" w14:paraId="63F604EA" w14:textId="77777777" w:rsidTr="008923F4">
        <w:tc>
          <w:tcPr>
            <w:tcW w:w="10490" w:type="dxa"/>
          </w:tcPr>
          <w:p w14:paraId="63F604E9" w14:textId="77777777" w:rsidR="00F87269" w:rsidRDefault="00F87269"/>
        </w:tc>
      </w:tr>
      <w:tr w:rsidR="00F87269" w14:paraId="63F604ED" w14:textId="77777777" w:rsidTr="008923F4">
        <w:trPr>
          <w:trHeight w:val="887"/>
        </w:trPr>
        <w:tc>
          <w:tcPr>
            <w:tcW w:w="10490" w:type="dxa"/>
          </w:tcPr>
          <w:p w14:paraId="63F604EB" w14:textId="6BE74CBF" w:rsidR="00786AE9" w:rsidRDefault="008F00C7" w:rsidP="00786AE9">
            <w:pPr>
              <w:pStyle w:val="CoverSubtitleOrange"/>
              <w:rPr>
                <w:b w:val="0"/>
                <w:bCs/>
                <w:i/>
                <w:iCs/>
              </w:rPr>
            </w:pPr>
            <w:r>
              <w:rPr>
                <w:b w:val="0"/>
                <w:bCs/>
                <w:i/>
                <w:iCs/>
              </w:rPr>
              <w:t xml:space="preserve">Emma Turnbull – Customer Safeguarding Specialist </w:t>
            </w:r>
            <w:r w:rsidR="005073E9">
              <w:rPr>
                <w:b w:val="0"/>
                <w:bCs/>
                <w:i/>
                <w:iCs/>
              </w:rPr>
              <w:t xml:space="preserve"> </w:t>
            </w:r>
          </w:p>
          <w:p w14:paraId="11E947B7" w14:textId="621B0E38" w:rsidR="00F008CD" w:rsidRDefault="008F00C7" w:rsidP="00786AE9">
            <w:pPr>
              <w:pStyle w:val="CoverSubtitleOrange"/>
              <w:rPr>
                <w:b w:val="0"/>
                <w:bCs/>
                <w:i/>
                <w:iCs/>
              </w:rPr>
            </w:pPr>
            <w:r>
              <w:rPr>
                <w:b w:val="0"/>
                <w:bCs/>
                <w:i/>
                <w:iCs/>
              </w:rPr>
              <w:t>Emma.Turnbull@cadentgas.com</w:t>
            </w:r>
          </w:p>
          <w:p w14:paraId="42D22BE8" w14:textId="4D22E373" w:rsidR="000573F6" w:rsidRDefault="000573F6" w:rsidP="004E029A">
            <w:pPr>
              <w:pStyle w:val="CoverSubtitleOrange"/>
              <w:rPr>
                <w:b w:val="0"/>
                <w:bCs/>
                <w:i/>
                <w:iCs/>
              </w:rPr>
            </w:pPr>
          </w:p>
          <w:p w14:paraId="676AF2BD" w14:textId="77777777" w:rsidR="000573F6" w:rsidRPr="00204052" w:rsidRDefault="000573F6" w:rsidP="004E029A">
            <w:pPr>
              <w:pStyle w:val="CoverSubtitleOrange"/>
              <w:rPr>
                <w:b w:val="0"/>
                <w:bCs/>
                <w:i/>
                <w:iCs/>
              </w:rPr>
            </w:pPr>
          </w:p>
          <w:p w14:paraId="46B87A82" w14:textId="6289BE92" w:rsidR="00296FC7" w:rsidRPr="00204052" w:rsidRDefault="003B24C0" w:rsidP="004E029A">
            <w:pPr>
              <w:pStyle w:val="CoverSubtitleOrange"/>
              <w:rPr>
                <w:b w:val="0"/>
                <w:bCs/>
                <w:i/>
                <w:iCs/>
                <w:color w:val="auto"/>
                <w:sz w:val="28"/>
                <w:szCs w:val="20"/>
              </w:rPr>
            </w:pPr>
            <w:r>
              <w:rPr>
                <w:b w:val="0"/>
                <w:bCs/>
                <w:i/>
                <w:iCs/>
                <w:color w:val="auto"/>
                <w:sz w:val="28"/>
                <w:szCs w:val="20"/>
              </w:rPr>
              <w:t>November</w:t>
            </w:r>
            <w:r w:rsidR="008F00C7">
              <w:rPr>
                <w:b w:val="0"/>
                <w:bCs/>
                <w:i/>
                <w:iCs/>
                <w:color w:val="auto"/>
                <w:sz w:val="28"/>
                <w:szCs w:val="20"/>
              </w:rPr>
              <w:t xml:space="preserve"> 2024 </w:t>
            </w:r>
          </w:p>
          <w:p w14:paraId="63F604EC" w14:textId="0E31F71B" w:rsidR="00E22B50" w:rsidRPr="00204052" w:rsidRDefault="00E22B50" w:rsidP="004E029A">
            <w:pPr>
              <w:pStyle w:val="CoverSubtitleGrey"/>
              <w:rPr>
                <w:bCs/>
                <w:i/>
                <w:iCs/>
              </w:rPr>
            </w:pPr>
          </w:p>
        </w:tc>
      </w:tr>
    </w:tbl>
    <w:p w14:paraId="63F604EE" w14:textId="64F40643" w:rsidR="002F76D0" w:rsidRDefault="002F76D0"/>
    <w:p w14:paraId="00A11807" w14:textId="3F23764C" w:rsidR="0044254E" w:rsidRDefault="0044254E"/>
    <w:p w14:paraId="4E7E0C77" w14:textId="54B101C7" w:rsidR="0044254E" w:rsidRDefault="0044254E"/>
    <w:p w14:paraId="259E1340" w14:textId="3C553D91" w:rsidR="0044254E" w:rsidRDefault="0044254E"/>
    <w:p w14:paraId="2D27A9CF" w14:textId="65AA44A3" w:rsidR="0044254E" w:rsidRDefault="0044254E"/>
    <w:p w14:paraId="50180445" w14:textId="4468A9DA" w:rsidR="0044254E" w:rsidRDefault="0044254E"/>
    <w:p w14:paraId="7E48E16A" w14:textId="4CFC9BD0" w:rsidR="0044254E" w:rsidRDefault="0044254E"/>
    <w:p w14:paraId="11F26198" w14:textId="1A96AE55" w:rsidR="0044254E" w:rsidRDefault="0044254E"/>
    <w:p w14:paraId="21AAA981" w14:textId="2B357D4D" w:rsidR="0044254E" w:rsidRDefault="0044254E"/>
    <w:p w14:paraId="3E14B8BB" w14:textId="3BFFBBE5" w:rsidR="0044254E" w:rsidRDefault="0044254E"/>
    <w:p w14:paraId="5CD8117D" w14:textId="6823C552" w:rsidR="0044254E" w:rsidRDefault="0044254E"/>
    <w:p w14:paraId="3F55BD9F" w14:textId="575846A4" w:rsidR="0044254E" w:rsidRDefault="0044254E"/>
    <w:p w14:paraId="709ADF29" w14:textId="00702315" w:rsidR="0044254E" w:rsidRDefault="0044254E"/>
    <w:p w14:paraId="68FE816B" w14:textId="06B7C6D5" w:rsidR="0044254E" w:rsidRDefault="0044254E"/>
    <w:p w14:paraId="535399F7" w14:textId="49468899" w:rsidR="0044254E" w:rsidRDefault="0044254E"/>
    <w:p w14:paraId="7DBA365D" w14:textId="77777777" w:rsidR="008923F4" w:rsidRDefault="008923F4" w:rsidP="00BF541E">
      <w:pPr>
        <w:rPr>
          <w:b/>
          <w:bCs/>
          <w:sz w:val="20"/>
          <w:szCs w:val="20"/>
        </w:rPr>
      </w:pPr>
    </w:p>
    <w:p w14:paraId="6BE1932D" w14:textId="77777777" w:rsidR="008923F4" w:rsidRDefault="008923F4" w:rsidP="00BF541E">
      <w:pPr>
        <w:rPr>
          <w:b/>
          <w:bCs/>
          <w:sz w:val="20"/>
          <w:szCs w:val="20"/>
        </w:rPr>
      </w:pPr>
    </w:p>
    <w:p w14:paraId="47680386" w14:textId="77777777" w:rsidR="008923F4" w:rsidRDefault="008923F4" w:rsidP="00BF541E">
      <w:pPr>
        <w:rPr>
          <w:b/>
          <w:bCs/>
          <w:sz w:val="20"/>
          <w:szCs w:val="20"/>
        </w:rPr>
      </w:pPr>
    </w:p>
    <w:p w14:paraId="737D17C4" w14:textId="77777777" w:rsidR="008923F4" w:rsidRDefault="008923F4" w:rsidP="00BF541E">
      <w:pPr>
        <w:rPr>
          <w:b/>
          <w:bCs/>
          <w:sz w:val="20"/>
          <w:szCs w:val="20"/>
        </w:rPr>
      </w:pPr>
    </w:p>
    <w:p w14:paraId="45D02EAC" w14:textId="77777777" w:rsidR="00DB385D" w:rsidRDefault="00DB385D" w:rsidP="00BF541E">
      <w:pPr>
        <w:rPr>
          <w:b/>
          <w:bCs/>
          <w:sz w:val="20"/>
          <w:szCs w:val="20"/>
        </w:rPr>
      </w:pPr>
    </w:p>
    <w:p w14:paraId="0596BEFF" w14:textId="77777777" w:rsidR="00DB385D" w:rsidRDefault="00DB385D" w:rsidP="00BF541E">
      <w:pPr>
        <w:rPr>
          <w:b/>
          <w:bCs/>
          <w:sz w:val="20"/>
          <w:szCs w:val="20"/>
        </w:rPr>
      </w:pPr>
    </w:p>
    <w:p w14:paraId="03C77B13" w14:textId="77777777" w:rsidR="00DB385D" w:rsidRDefault="00DB385D" w:rsidP="00BF541E">
      <w:pPr>
        <w:rPr>
          <w:b/>
          <w:bCs/>
          <w:sz w:val="20"/>
          <w:szCs w:val="20"/>
        </w:rPr>
      </w:pPr>
    </w:p>
    <w:p w14:paraId="06A2D64D" w14:textId="77777777" w:rsidR="000C68A6" w:rsidRDefault="000C68A6" w:rsidP="00BF541E">
      <w:pPr>
        <w:rPr>
          <w:b/>
          <w:bCs/>
          <w:sz w:val="20"/>
          <w:szCs w:val="20"/>
        </w:rPr>
      </w:pPr>
    </w:p>
    <w:p w14:paraId="45966F53" w14:textId="77777777" w:rsidR="00786AE9" w:rsidRDefault="00786AE9" w:rsidP="00BF541E">
      <w:pPr>
        <w:rPr>
          <w:b/>
          <w:bCs/>
          <w:sz w:val="20"/>
          <w:szCs w:val="20"/>
        </w:rPr>
      </w:pPr>
    </w:p>
    <w:p w14:paraId="52756EA5" w14:textId="77777777" w:rsidR="005073E9" w:rsidRDefault="005073E9" w:rsidP="00BF541E">
      <w:pPr>
        <w:rPr>
          <w:b/>
          <w:bCs/>
          <w:sz w:val="20"/>
          <w:szCs w:val="20"/>
        </w:rPr>
      </w:pPr>
    </w:p>
    <w:p w14:paraId="1F12AD3A" w14:textId="271E5A28" w:rsidR="00EA517D" w:rsidRPr="004462A4" w:rsidRDefault="00EA517D" w:rsidP="00BF541E">
      <w:pPr>
        <w:rPr>
          <w:b/>
          <w:bCs/>
          <w:sz w:val="20"/>
          <w:szCs w:val="20"/>
        </w:rPr>
      </w:pPr>
      <w:r w:rsidRPr="004462A4">
        <w:rPr>
          <w:b/>
          <w:bCs/>
          <w:sz w:val="20"/>
          <w:szCs w:val="20"/>
        </w:rPr>
        <w:lastRenderedPageBreak/>
        <w:t xml:space="preserve">Gas Network Vulnerability &amp; Carbon Monoxide Allowance (VCMA) Governance Document - Project Eligibility Criteria </w:t>
      </w:r>
    </w:p>
    <w:p w14:paraId="4F0E74B8" w14:textId="78A092ED" w:rsidR="00EA517D" w:rsidRPr="004462A4" w:rsidRDefault="00EA517D" w:rsidP="00BF541E">
      <w:pPr>
        <w:rPr>
          <w:b/>
          <w:bCs/>
          <w:sz w:val="20"/>
          <w:szCs w:val="20"/>
        </w:rPr>
      </w:pPr>
    </w:p>
    <w:tbl>
      <w:tblPr>
        <w:tblStyle w:val="TableGrid"/>
        <w:tblW w:w="10201" w:type="dxa"/>
        <w:tblLook w:val="04A0" w:firstRow="1" w:lastRow="0" w:firstColumn="1" w:lastColumn="0" w:noHBand="0" w:noVBand="1"/>
      </w:tblPr>
      <w:tblGrid>
        <w:gridCol w:w="9067"/>
        <w:gridCol w:w="1066"/>
        <w:gridCol w:w="68"/>
      </w:tblGrid>
      <w:tr w:rsidR="00EA517D" w:rsidRPr="004462A4" w14:paraId="011E5FD1" w14:textId="77777777" w:rsidTr="000C68A6">
        <w:trPr>
          <w:gridAfter w:val="1"/>
          <w:wAfter w:w="68" w:type="dxa"/>
          <w:trHeight w:val="334"/>
        </w:trPr>
        <w:tc>
          <w:tcPr>
            <w:tcW w:w="10133" w:type="dxa"/>
            <w:gridSpan w:val="2"/>
          </w:tcPr>
          <w:p w14:paraId="32EFEB98" w14:textId="512B2A71" w:rsidR="00EA517D" w:rsidRPr="004462A4" w:rsidRDefault="001D2E80" w:rsidP="00BF541E">
            <w:pPr>
              <w:rPr>
                <w:b/>
                <w:bCs/>
                <w:sz w:val="20"/>
                <w:szCs w:val="20"/>
              </w:rPr>
            </w:pPr>
            <w:r w:rsidRPr="004462A4">
              <w:rPr>
                <w:b/>
                <w:bCs/>
                <w:sz w:val="20"/>
                <w:szCs w:val="20"/>
              </w:rPr>
              <w:t xml:space="preserve">Section 1 - </w:t>
            </w:r>
            <w:r w:rsidR="00EA517D" w:rsidRPr="004462A4">
              <w:rPr>
                <w:b/>
                <w:bCs/>
                <w:sz w:val="20"/>
                <w:szCs w:val="20"/>
              </w:rPr>
              <w:t>Eligibility criteria for company specific projects (</w:t>
            </w:r>
            <w:r w:rsidR="00BE536E" w:rsidRPr="004462A4">
              <w:rPr>
                <w:b/>
                <w:bCs/>
                <w:sz w:val="20"/>
                <w:szCs w:val="20"/>
              </w:rPr>
              <w:t>other than condemned essential gas appliance repair and replacement</w:t>
            </w:r>
            <w:r w:rsidR="00EA517D" w:rsidRPr="004462A4">
              <w:rPr>
                <w:b/>
                <w:bCs/>
                <w:sz w:val="20"/>
                <w:szCs w:val="20"/>
              </w:rPr>
              <w:t>)</w:t>
            </w:r>
          </w:p>
          <w:p w14:paraId="519CD75F" w14:textId="77777777" w:rsidR="00EA517D" w:rsidRPr="004462A4" w:rsidRDefault="00EA517D" w:rsidP="00BF541E">
            <w:pPr>
              <w:rPr>
                <w:b/>
                <w:bCs/>
                <w:sz w:val="20"/>
                <w:szCs w:val="20"/>
              </w:rPr>
            </w:pPr>
          </w:p>
          <w:p w14:paraId="61403AC1" w14:textId="52F6BAC4" w:rsidR="00EA517D" w:rsidRPr="004462A4" w:rsidRDefault="00EA517D" w:rsidP="00BF541E">
            <w:pPr>
              <w:rPr>
                <w:sz w:val="20"/>
                <w:szCs w:val="20"/>
              </w:rPr>
            </w:pPr>
            <w:r w:rsidRPr="004462A4">
              <w:rPr>
                <w:sz w:val="20"/>
                <w:szCs w:val="20"/>
              </w:rPr>
              <w:t>In order to qualify as a VCMA project, a project must:</w:t>
            </w:r>
          </w:p>
          <w:p w14:paraId="0D9DFDCD" w14:textId="7F8BD824" w:rsidR="00EA517D" w:rsidRPr="004462A4" w:rsidRDefault="00EA517D" w:rsidP="00BF541E">
            <w:pPr>
              <w:rPr>
                <w:b/>
                <w:bCs/>
                <w:sz w:val="20"/>
                <w:szCs w:val="20"/>
              </w:rPr>
            </w:pPr>
          </w:p>
        </w:tc>
      </w:tr>
      <w:tr w:rsidR="00EA517D" w:rsidRPr="004462A4" w14:paraId="54A5353E" w14:textId="77777777" w:rsidTr="000C68A6">
        <w:trPr>
          <w:gridAfter w:val="1"/>
          <w:wAfter w:w="68" w:type="dxa"/>
          <w:trHeight w:val="334"/>
        </w:trPr>
        <w:tc>
          <w:tcPr>
            <w:tcW w:w="9067" w:type="dxa"/>
          </w:tcPr>
          <w:p w14:paraId="31CE3344" w14:textId="6E407650" w:rsidR="00EA517D" w:rsidRPr="004462A4" w:rsidRDefault="00EA517D" w:rsidP="00BF541E">
            <w:pPr>
              <w:rPr>
                <w:b/>
                <w:bCs/>
                <w:sz w:val="20"/>
                <w:szCs w:val="20"/>
              </w:rPr>
            </w:pPr>
            <w:r w:rsidRPr="004462A4">
              <w:rPr>
                <w:b/>
                <w:bCs/>
                <w:sz w:val="20"/>
                <w:szCs w:val="20"/>
              </w:rPr>
              <w:t>VCMA Eligibility Criteria</w:t>
            </w:r>
          </w:p>
          <w:p w14:paraId="054E8D33" w14:textId="4E917884" w:rsidR="00EA517D" w:rsidRPr="004462A4" w:rsidRDefault="00EA517D" w:rsidP="00BF541E">
            <w:pPr>
              <w:rPr>
                <w:b/>
                <w:bCs/>
                <w:sz w:val="20"/>
                <w:szCs w:val="20"/>
              </w:rPr>
            </w:pPr>
          </w:p>
        </w:tc>
        <w:tc>
          <w:tcPr>
            <w:tcW w:w="1066" w:type="dxa"/>
          </w:tcPr>
          <w:p w14:paraId="318BA0D1" w14:textId="4B05DD9E" w:rsidR="00EA517D" w:rsidRPr="004462A4" w:rsidRDefault="00EA517D" w:rsidP="00BF541E">
            <w:pPr>
              <w:rPr>
                <w:b/>
                <w:bCs/>
                <w:sz w:val="20"/>
                <w:szCs w:val="20"/>
              </w:rPr>
            </w:pPr>
            <w:r w:rsidRPr="004462A4">
              <w:rPr>
                <w:b/>
                <w:bCs/>
                <w:sz w:val="20"/>
                <w:szCs w:val="20"/>
              </w:rPr>
              <w:t>Criteria Satisfied (Yes/No)</w:t>
            </w:r>
          </w:p>
        </w:tc>
      </w:tr>
      <w:tr w:rsidR="00EA517D" w:rsidRPr="004462A4" w14:paraId="272D48B2" w14:textId="77777777" w:rsidTr="00F008CD">
        <w:trPr>
          <w:gridAfter w:val="1"/>
          <w:wAfter w:w="68" w:type="dxa"/>
          <w:trHeight w:val="334"/>
        </w:trPr>
        <w:tc>
          <w:tcPr>
            <w:tcW w:w="9067" w:type="dxa"/>
          </w:tcPr>
          <w:p w14:paraId="43163BAE" w14:textId="586781D3" w:rsidR="00EA517D" w:rsidRPr="004462A4" w:rsidRDefault="00EA517D" w:rsidP="001C75AE">
            <w:pPr>
              <w:pStyle w:val="ListParagraph"/>
              <w:numPr>
                <w:ilvl w:val="0"/>
                <w:numId w:val="3"/>
              </w:numPr>
              <w:rPr>
                <w:b/>
                <w:bCs/>
                <w:sz w:val="20"/>
                <w:szCs w:val="20"/>
              </w:rPr>
            </w:pPr>
            <w:r w:rsidRPr="004462A4">
              <w:rPr>
                <w:sz w:val="20"/>
                <w:szCs w:val="20"/>
              </w:rPr>
              <w:t>Have a positive</w:t>
            </w:r>
            <w:r w:rsidR="00BE536E" w:rsidRPr="004462A4">
              <w:rPr>
                <w:sz w:val="20"/>
                <w:szCs w:val="20"/>
              </w:rPr>
              <w:t>, or forecasted positive</w:t>
            </w:r>
            <w:r w:rsidRPr="004462A4">
              <w:rPr>
                <w:sz w:val="20"/>
                <w:szCs w:val="20"/>
              </w:rPr>
              <w:t xml:space="preserve"> Social Return on Investment (SROI), </w:t>
            </w:r>
            <w:r w:rsidR="00BE536E" w:rsidRPr="004462A4">
              <w:rPr>
                <w:sz w:val="20"/>
                <w:szCs w:val="20"/>
              </w:rPr>
              <w:t>including for the gas consumers funding the VCMA project;</w:t>
            </w:r>
          </w:p>
          <w:p w14:paraId="60F878BB" w14:textId="2FC21116" w:rsidR="00EA517D" w:rsidRPr="004462A4" w:rsidRDefault="00EA517D" w:rsidP="00BF541E">
            <w:pPr>
              <w:rPr>
                <w:b/>
                <w:bCs/>
                <w:sz w:val="20"/>
                <w:szCs w:val="20"/>
              </w:rPr>
            </w:pPr>
          </w:p>
        </w:tc>
        <w:tc>
          <w:tcPr>
            <w:tcW w:w="1066" w:type="dxa"/>
            <w:vAlign w:val="center"/>
          </w:tcPr>
          <w:p w14:paraId="373C80FD" w14:textId="127312F7" w:rsidR="00EA517D" w:rsidRPr="004462A4" w:rsidRDefault="008F00C7" w:rsidP="00F008CD">
            <w:pPr>
              <w:jc w:val="center"/>
              <w:rPr>
                <w:b/>
                <w:bCs/>
                <w:sz w:val="20"/>
                <w:szCs w:val="20"/>
              </w:rPr>
            </w:pPr>
            <w:r>
              <w:rPr>
                <w:b/>
                <w:bCs/>
                <w:sz w:val="20"/>
                <w:szCs w:val="20"/>
              </w:rPr>
              <w:t>Yes</w:t>
            </w:r>
          </w:p>
        </w:tc>
      </w:tr>
      <w:tr w:rsidR="00EA517D" w:rsidRPr="004462A4" w14:paraId="27EA3BBC" w14:textId="77777777" w:rsidTr="00F008CD">
        <w:trPr>
          <w:gridAfter w:val="1"/>
          <w:wAfter w:w="68" w:type="dxa"/>
          <w:trHeight w:val="334"/>
        </w:trPr>
        <w:tc>
          <w:tcPr>
            <w:tcW w:w="9067" w:type="dxa"/>
          </w:tcPr>
          <w:p w14:paraId="634B3597" w14:textId="51DCAC76" w:rsidR="00EA517D" w:rsidRPr="004462A4" w:rsidRDefault="00EA517D" w:rsidP="001C75AE">
            <w:pPr>
              <w:pStyle w:val="ListParagraph"/>
              <w:numPr>
                <w:ilvl w:val="0"/>
                <w:numId w:val="3"/>
              </w:numPr>
              <w:rPr>
                <w:b/>
                <w:bCs/>
                <w:sz w:val="20"/>
                <w:szCs w:val="20"/>
              </w:rPr>
            </w:pPr>
            <w:r w:rsidRPr="004462A4">
              <w:rPr>
                <w:sz w:val="20"/>
                <w:szCs w:val="20"/>
              </w:rPr>
              <w:t>Either:</w:t>
            </w:r>
          </w:p>
          <w:p w14:paraId="19D10442" w14:textId="7D0ACF6D" w:rsidR="00EA517D" w:rsidRPr="004462A4" w:rsidRDefault="00EA517D" w:rsidP="001C75AE">
            <w:pPr>
              <w:pStyle w:val="ListParagraph"/>
              <w:numPr>
                <w:ilvl w:val="0"/>
                <w:numId w:val="4"/>
              </w:numPr>
              <w:rPr>
                <w:b/>
                <w:bCs/>
                <w:sz w:val="20"/>
                <w:szCs w:val="20"/>
              </w:rPr>
            </w:pPr>
            <w:r w:rsidRPr="004462A4">
              <w:rPr>
                <w:sz w:val="20"/>
                <w:szCs w:val="20"/>
              </w:rPr>
              <w:t xml:space="preserve">Provide </w:t>
            </w:r>
            <w:r w:rsidR="00BE536E" w:rsidRPr="004462A4">
              <w:rPr>
                <w:sz w:val="20"/>
                <w:szCs w:val="20"/>
              </w:rPr>
              <w:t>support</w:t>
            </w:r>
            <w:r w:rsidRPr="004462A4">
              <w:rPr>
                <w:sz w:val="20"/>
                <w:szCs w:val="20"/>
              </w:rPr>
              <w:t xml:space="preserve"> to consumers in vulnerable situations</w:t>
            </w:r>
            <w:r w:rsidR="00BE536E" w:rsidRPr="004462A4">
              <w:rPr>
                <w:sz w:val="20"/>
                <w:szCs w:val="20"/>
              </w:rPr>
              <w:t>, and relate to energy safeguarding, or</w:t>
            </w:r>
          </w:p>
          <w:p w14:paraId="2A22E45E" w14:textId="711218AB" w:rsidR="00EA517D" w:rsidRPr="004462A4" w:rsidRDefault="00EA517D" w:rsidP="001C75AE">
            <w:pPr>
              <w:pStyle w:val="ListParagraph"/>
              <w:numPr>
                <w:ilvl w:val="0"/>
                <w:numId w:val="4"/>
              </w:numPr>
              <w:rPr>
                <w:b/>
                <w:bCs/>
                <w:sz w:val="20"/>
                <w:szCs w:val="20"/>
              </w:rPr>
            </w:pPr>
            <w:r w:rsidRPr="004462A4">
              <w:rPr>
                <w:sz w:val="20"/>
                <w:szCs w:val="20"/>
              </w:rPr>
              <w:t>Provide awareness on the dangers of CO, or</w:t>
            </w:r>
          </w:p>
          <w:p w14:paraId="5E494BBC" w14:textId="32662DFF" w:rsidR="00EA517D" w:rsidRPr="004462A4" w:rsidRDefault="00EA517D" w:rsidP="001C75AE">
            <w:pPr>
              <w:pStyle w:val="ListParagraph"/>
              <w:numPr>
                <w:ilvl w:val="0"/>
                <w:numId w:val="4"/>
              </w:numPr>
              <w:rPr>
                <w:b/>
                <w:bCs/>
                <w:sz w:val="20"/>
                <w:szCs w:val="20"/>
              </w:rPr>
            </w:pPr>
            <w:r w:rsidRPr="004462A4">
              <w:rPr>
                <w:sz w:val="20"/>
                <w:szCs w:val="20"/>
              </w:rPr>
              <w:t xml:space="preserve">Reduce the risk of </w:t>
            </w:r>
            <w:r w:rsidR="00BE536E" w:rsidRPr="004462A4">
              <w:rPr>
                <w:sz w:val="20"/>
                <w:szCs w:val="20"/>
              </w:rPr>
              <w:t>harm</w:t>
            </w:r>
            <w:r w:rsidRPr="004462A4">
              <w:rPr>
                <w:sz w:val="20"/>
                <w:szCs w:val="20"/>
              </w:rPr>
              <w:t xml:space="preserve"> caused by CO;</w:t>
            </w:r>
          </w:p>
          <w:p w14:paraId="0F4AA5E4" w14:textId="68ECE648" w:rsidR="00EA517D" w:rsidRPr="004462A4" w:rsidRDefault="00EA517D" w:rsidP="00EA517D">
            <w:pPr>
              <w:rPr>
                <w:sz w:val="20"/>
                <w:szCs w:val="20"/>
              </w:rPr>
            </w:pPr>
          </w:p>
        </w:tc>
        <w:tc>
          <w:tcPr>
            <w:tcW w:w="1066" w:type="dxa"/>
            <w:vAlign w:val="center"/>
          </w:tcPr>
          <w:p w14:paraId="3DCACB68" w14:textId="6AAA2E63" w:rsidR="00EA517D" w:rsidRPr="004462A4" w:rsidRDefault="008F00C7" w:rsidP="00F008CD">
            <w:pPr>
              <w:jc w:val="center"/>
              <w:rPr>
                <w:b/>
                <w:bCs/>
                <w:sz w:val="20"/>
                <w:szCs w:val="20"/>
              </w:rPr>
            </w:pPr>
            <w:r>
              <w:rPr>
                <w:b/>
                <w:bCs/>
                <w:sz w:val="20"/>
                <w:szCs w:val="20"/>
              </w:rPr>
              <w:t>Yes</w:t>
            </w:r>
          </w:p>
        </w:tc>
      </w:tr>
      <w:tr w:rsidR="00EA517D" w:rsidRPr="004462A4" w14:paraId="34643031" w14:textId="77777777" w:rsidTr="00F008CD">
        <w:trPr>
          <w:gridAfter w:val="1"/>
          <w:wAfter w:w="68" w:type="dxa"/>
          <w:trHeight w:val="334"/>
        </w:trPr>
        <w:tc>
          <w:tcPr>
            <w:tcW w:w="9067" w:type="dxa"/>
          </w:tcPr>
          <w:p w14:paraId="23E434DB" w14:textId="7DBD9FE7" w:rsidR="00EA517D" w:rsidRPr="004462A4" w:rsidRDefault="00EA517D" w:rsidP="001C75AE">
            <w:pPr>
              <w:pStyle w:val="ListParagraph"/>
              <w:numPr>
                <w:ilvl w:val="0"/>
                <w:numId w:val="3"/>
              </w:numPr>
              <w:rPr>
                <w:b/>
                <w:bCs/>
                <w:sz w:val="20"/>
                <w:szCs w:val="20"/>
              </w:rPr>
            </w:pPr>
            <w:r w:rsidRPr="004462A4">
              <w:rPr>
                <w:sz w:val="20"/>
                <w:szCs w:val="20"/>
              </w:rPr>
              <w:t>Have defined out</w:t>
            </w:r>
            <w:r w:rsidR="00D7667C" w:rsidRPr="004462A4">
              <w:rPr>
                <w:sz w:val="20"/>
                <w:szCs w:val="20"/>
              </w:rPr>
              <w:t>comes and the associated actions to achieve these</w:t>
            </w:r>
            <w:r w:rsidRPr="004462A4">
              <w:rPr>
                <w:sz w:val="20"/>
                <w:szCs w:val="20"/>
              </w:rPr>
              <w:t xml:space="preserve">; </w:t>
            </w:r>
          </w:p>
          <w:p w14:paraId="600264CD" w14:textId="2BE8FAA4" w:rsidR="00EA517D" w:rsidRPr="004462A4" w:rsidRDefault="00EA517D" w:rsidP="00BF541E">
            <w:pPr>
              <w:rPr>
                <w:b/>
                <w:bCs/>
                <w:sz w:val="20"/>
                <w:szCs w:val="20"/>
              </w:rPr>
            </w:pPr>
          </w:p>
        </w:tc>
        <w:tc>
          <w:tcPr>
            <w:tcW w:w="1066" w:type="dxa"/>
            <w:vAlign w:val="center"/>
          </w:tcPr>
          <w:p w14:paraId="56E1ED94" w14:textId="5C796A06" w:rsidR="00EA517D" w:rsidRPr="004462A4" w:rsidRDefault="008F00C7" w:rsidP="00F008CD">
            <w:pPr>
              <w:jc w:val="center"/>
              <w:rPr>
                <w:b/>
                <w:bCs/>
                <w:sz w:val="20"/>
                <w:szCs w:val="20"/>
              </w:rPr>
            </w:pPr>
            <w:r>
              <w:rPr>
                <w:b/>
                <w:bCs/>
                <w:sz w:val="20"/>
                <w:szCs w:val="20"/>
              </w:rPr>
              <w:t>Yes</w:t>
            </w:r>
          </w:p>
        </w:tc>
      </w:tr>
      <w:tr w:rsidR="00EA517D" w:rsidRPr="004462A4" w14:paraId="0CCBF7BA" w14:textId="77777777" w:rsidTr="00F008CD">
        <w:trPr>
          <w:gridAfter w:val="1"/>
          <w:wAfter w:w="68" w:type="dxa"/>
          <w:trHeight w:val="334"/>
        </w:trPr>
        <w:tc>
          <w:tcPr>
            <w:tcW w:w="9067" w:type="dxa"/>
          </w:tcPr>
          <w:p w14:paraId="5A683334" w14:textId="36A080F7" w:rsidR="00EA517D" w:rsidRPr="004462A4" w:rsidRDefault="001D2E80" w:rsidP="001C75AE">
            <w:pPr>
              <w:pStyle w:val="ListParagraph"/>
              <w:numPr>
                <w:ilvl w:val="0"/>
                <w:numId w:val="3"/>
              </w:numPr>
              <w:rPr>
                <w:b/>
                <w:bCs/>
                <w:sz w:val="20"/>
                <w:szCs w:val="20"/>
              </w:rPr>
            </w:pPr>
            <w:r w:rsidRPr="004462A4">
              <w:rPr>
                <w:sz w:val="20"/>
                <w:szCs w:val="20"/>
              </w:rPr>
              <w:t xml:space="preserve">Go beyond activities that are funded through </w:t>
            </w:r>
            <w:r w:rsidR="00D7667C" w:rsidRPr="004462A4">
              <w:rPr>
                <w:sz w:val="20"/>
                <w:szCs w:val="20"/>
              </w:rPr>
              <w:t>other</w:t>
            </w:r>
            <w:r w:rsidRPr="004462A4">
              <w:rPr>
                <w:sz w:val="20"/>
                <w:szCs w:val="20"/>
              </w:rPr>
              <w:t xml:space="preserve"> price control mechanism</w:t>
            </w:r>
            <w:r w:rsidR="00D7667C" w:rsidRPr="004462A4">
              <w:rPr>
                <w:sz w:val="20"/>
                <w:szCs w:val="20"/>
              </w:rPr>
              <w:t>(s)</w:t>
            </w:r>
            <w:r w:rsidRPr="004462A4">
              <w:rPr>
                <w:sz w:val="20"/>
                <w:szCs w:val="20"/>
              </w:rPr>
              <w:t xml:space="preserve"> or required through licence obligations; and</w:t>
            </w:r>
          </w:p>
          <w:p w14:paraId="1DFA3D40" w14:textId="70933514" w:rsidR="00EA517D" w:rsidRPr="004462A4" w:rsidRDefault="00EA517D" w:rsidP="00BF541E">
            <w:pPr>
              <w:rPr>
                <w:b/>
                <w:bCs/>
                <w:sz w:val="20"/>
                <w:szCs w:val="20"/>
              </w:rPr>
            </w:pPr>
          </w:p>
        </w:tc>
        <w:tc>
          <w:tcPr>
            <w:tcW w:w="1066" w:type="dxa"/>
            <w:vAlign w:val="center"/>
          </w:tcPr>
          <w:p w14:paraId="240C7407" w14:textId="277330CD" w:rsidR="00EA517D" w:rsidRPr="004462A4" w:rsidRDefault="008F00C7" w:rsidP="00F008CD">
            <w:pPr>
              <w:jc w:val="center"/>
              <w:rPr>
                <w:b/>
                <w:bCs/>
                <w:sz w:val="20"/>
                <w:szCs w:val="20"/>
              </w:rPr>
            </w:pPr>
            <w:r>
              <w:rPr>
                <w:b/>
                <w:bCs/>
                <w:sz w:val="20"/>
                <w:szCs w:val="20"/>
              </w:rPr>
              <w:t>Yes</w:t>
            </w:r>
          </w:p>
        </w:tc>
      </w:tr>
      <w:tr w:rsidR="001D2E80" w:rsidRPr="004462A4" w14:paraId="421B46B5" w14:textId="77777777" w:rsidTr="00F008CD">
        <w:trPr>
          <w:gridAfter w:val="1"/>
          <w:wAfter w:w="68" w:type="dxa"/>
          <w:trHeight w:val="334"/>
        </w:trPr>
        <w:tc>
          <w:tcPr>
            <w:tcW w:w="9067" w:type="dxa"/>
          </w:tcPr>
          <w:p w14:paraId="11CBC0DE" w14:textId="6A751E53" w:rsidR="001D2E80" w:rsidRPr="004462A4" w:rsidRDefault="001D2E80" w:rsidP="001C75AE">
            <w:pPr>
              <w:pStyle w:val="ListParagraph"/>
              <w:numPr>
                <w:ilvl w:val="0"/>
                <w:numId w:val="3"/>
              </w:numPr>
              <w:rPr>
                <w:b/>
                <w:bCs/>
                <w:sz w:val="20"/>
                <w:szCs w:val="20"/>
              </w:rPr>
            </w:pPr>
            <w:r w:rsidRPr="004462A4">
              <w:rPr>
                <w:sz w:val="20"/>
                <w:szCs w:val="20"/>
              </w:rPr>
              <w:t xml:space="preserve">Not be delivered through other external funding sources directly accessed by a GDN, including through other government (national, </w:t>
            </w:r>
            <w:r w:rsidR="00687E02" w:rsidRPr="004462A4">
              <w:rPr>
                <w:sz w:val="20"/>
                <w:szCs w:val="20"/>
              </w:rPr>
              <w:t>devolved,</w:t>
            </w:r>
            <w:r w:rsidRPr="004462A4">
              <w:rPr>
                <w:sz w:val="20"/>
                <w:szCs w:val="20"/>
              </w:rPr>
              <w:t xml:space="preserve"> or local) funding. </w:t>
            </w:r>
          </w:p>
          <w:p w14:paraId="21EEABF5" w14:textId="6D3E8045" w:rsidR="001D2E80" w:rsidRPr="004462A4" w:rsidRDefault="001D2E80" w:rsidP="001D2E80">
            <w:pPr>
              <w:rPr>
                <w:sz w:val="20"/>
                <w:szCs w:val="20"/>
              </w:rPr>
            </w:pPr>
          </w:p>
        </w:tc>
        <w:tc>
          <w:tcPr>
            <w:tcW w:w="1066" w:type="dxa"/>
            <w:vAlign w:val="center"/>
          </w:tcPr>
          <w:p w14:paraId="5C479B3C" w14:textId="07177081" w:rsidR="001D2E80" w:rsidRPr="004462A4" w:rsidRDefault="003533A4" w:rsidP="00F008CD">
            <w:pPr>
              <w:jc w:val="center"/>
              <w:rPr>
                <w:b/>
                <w:bCs/>
                <w:sz w:val="20"/>
                <w:szCs w:val="20"/>
              </w:rPr>
            </w:pPr>
            <w:r>
              <w:rPr>
                <w:b/>
                <w:bCs/>
                <w:sz w:val="20"/>
                <w:szCs w:val="20"/>
              </w:rPr>
              <w:t>Yes</w:t>
            </w:r>
          </w:p>
        </w:tc>
      </w:tr>
      <w:tr w:rsidR="001D2E80" w:rsidRPr="004462A4" w14:paraId="3F27F133" w14:textId="77777777" w:rsidTr="000C68A6">
        <w:trPr>
          <w:gridAfter w:val="1"/>
          <w:wAfter w:w="68" w:type="dxa"/>
          <w:trHeight w:val="334"/>
        </w:trPr>
        <w:tc>
          <w:tcPr>
            <w:tcW w:w="10133" w:type="dxa"/>
            <w:gridSpan w:val="2"/>
          </w:tcPr>
          <w:p w14:paraId="7880C9B9" w14:textId="7948118B" w:rsidR="001D2E80" w:rsidRPr="004462A4" w:rsidRDefault="001D2E80" w:rsidP="001D2E80">
            <w:pPr>
              <w:rPr>
                <w:b/>
                <w:bCs/>
                <w:sz w:val="20"/>
                <w:szCs w:val="20"/>
              </w:rPr>
            </w:pPr>
            <w:r w:rsidRPr="004462A4">
              <w:rPr>
                <w:b/>
                <w:bCs/>
                <w:sz w:val="20"/>
                <w:szCs w:val="20"/>
              </w:rPr>
              <w:t xml:space="preserve">Section 2 - Eligibility criteria for company specific </w:t>
            </w:r>
            <w:r w:rsidR="00D7667C" w:rsidRPr="004462A4">
              <w:rPr>
                <w:b/>
                <w:bCs/>
                <w:sz w:val="20"/>
                <w:szCs w:val="20"/>
              </w:rPr>
              <w:t>essential gas appliance</w:t>
            </w:r>
            <w:r w:rsidRPr="004462A4">
              <w:rPr>
                <w:b/>
                <w:bCs/>
                <w:sz w:val="20"/>
                <w:szCs w:val="20"/>
              </w:rPr>
              <w:t xml:space="preserve"> </w:t>
            </w:r>
            <w:r w:rsidR="00D7667C" w:rsidRPr="004462A4">
              <w:rPr>
                <w:b/>
                <w:bCs/>
                <w:sz w:val="20"/>
                <w:szCs w:val="20"/>
              </w:rPr>
              <w:t xml:space="preserve">servicing, </w:t>
            </w:r>
            <w:r w:rsidR="00687E02" w:rsidRPr="004462A4">
              <w:rPr>
                <w:b/>
                <w:bCs/>
                <w:sz w:val="20"/>
                <w:szCs w:val="20"/>
              </w:rPr>
              <w:t>repair,</w:t>
            </w:r>
            <w:r w:rsidRPr="004462A4">
              <w:rPr>
                <w:b/>
                <w:bCs/>
                <w:sz w:val="20"/>
                <w:szCs w:val="20"/>
              </w:rPr>
              <w:t xml:space="preserve"> and replacement projects</w:t>
            </w:r>
          </w:p>
          <w:p w14:paraId="7FC7C7B2" w14:textId="77777777" w:rsidR="001D2E80" w:rsidRPr="004462A4" w:rsidRDefault="001D2E80" w:rsidP="001D2E80">
            <w:pPr>
              <w:rPr>
                <w:sz w:val="20"/>
                <w:szCs w:val="20"/>
              </w:rPr>
            </w:pPr>
          </w:p>
          <w:p w14:paraId="2E4503DB" w14:textId="66CCD9D6" w:rsidR="001D2E80" w:rsidRPr="004462A4" w:rsidRDefault="00D7667C" w:rsidP="001D2E80">
            <w:pPr>
              <w:rPr>
                <w:sz w:val="20"/>
                <w:szCs w:val="20"/>
              </w:rPr>
            </w:pPr>
            <w:r w:rsidRPr="004462A4">
              <w:rPr>
                <w:sz w:val="20"/>
                <w:szCs w:val="20"/>
              </w:rPr>
              <w:t xml:space="preserve">In order to qualify as a VCMA project, unsafe pipework and essential gas appliance servicing, repair or replacement must meet the following criteria: </w:t>
            </w:r>
          </w:p>
          <w:p w14:paraId="4D0B2219" w14:textId="77777777" w:rsidR="001D2E80" w:rsidRPr="004462A4" w:rsidRDefault="001D2E80" w:rsidP="00BF541E">
            <w:pPr>
              <w:rPr>
                <w:b/>
                <w:bCs/>
                <w:sz w:val="20"/>
                <w:szCs w:val="20"/>
              </w:rPr>
            </w:pPr>
          </w:p>
        </w:tc>
      </w:tr>
      <w:tr w:rsidR="001D2E80" w:rsidRPr="004462A4" w14:paraId="408CE314" w14:textId="77777777" w:rsidTr="00F008CD">
        <w:trPr>
          <w:gridAfter w:val="1"/>
          <w:wAfter w:w="68" w:type="dxa"/>
          <w:trHeight w:val="334"/>
        </w:trPr>
        <w:tc>
          <w:tcPr>
            <w:tcW w:w="9067" w:type="dxa"/>
          </w:tcPr>
          <w:p w14:paraId="44CB00F1" w14:textId="08D271DD" w:rsidR="001D2E80" w:rsidRPr="004462A4" w:rsidRDefault="001D2E80" w:rsidP="001C75AE">
            <w:pPr>
              <w:pStyle w:val="ListParagraph"/>
              <w:numPr>
                <w:ilvl w:val="0"/>
                <w:numId w:val="5"/>
              </w:numPr>
              <w:rPr>
                <w:b/>
                <w:bCs/>
                <w:sz w:val="20"/>
                <w:szCs w:val="20"/>
              </w:rPr>
            </w:pPr>
            <w:r w:rsidRPr="004462A4">
              <w:rPr>
                <w:sz w:val="20"/>
                <w:szCs w:val="20"/>
              </w:rPr>
              <w:t xml:space="preserve">A GDN has </w:t>
            </w:r>
            <w:r w:rsidR="008C7848" w:rsidRPr="004462A4">
              <w:rPr>
                <w:sz w:val="20"/>
                <w:szCs w:val="20"/>
              </w:rPr>
              <w:t xml:space="preserve">to isolate and condemn </w:t>
            </w:r>
            <w:r w:rsidR="00D7667C" w:rsidRPr="004462A4">
              <w:rPr>
                <w:sz w:val="20"/>
                <w:szCs w:val="20"/>
              </w:rPr>
              <w:t>unsafe pipework or an essential gas appliance</w:t>
            </w:r>
            <w:r w:rsidR="008C7848" w:rsidRPr="004462A4">
              <w:rPr>
                <w:sz w:val="20"/>
                <w:szCs w:val="20"/>
              </w:rPr>
              <w:t xml:space="preserve"> following a supply interruption or as part of its emergency service role; </w:t>
            </w:r>
          </w:p>
          <w:p w14:paraId="4E3CF7EE" w14:textId="382028D3" w:rsidR="001D2E80" w:rsidRPr="004462A4" w:rsidRDefault="001D2E80" w:rsidP="001D2E80">
            <w:pPr>
              <w:rPr>
                <w:b/>
                <w:bCs/>
                <w:sz w:val="20"/>
                <w:szCs w:val="20"/>
              </w:rPr>
            </w:pPr>
          </w:p>
        </w:tc>
        <w:tc>
          <w:tcPr>
            <w:tcW w:w="1066" w:type="dxa"/>
            <w:vAlign w:val="center"/>
          </w:tcPr>
          <w:p w14:paraId="05198EEE" w14:textId="1847C18D" w:rsidR="001D2E80" w:rsidRPr="004462A4" w:rsidRDefault="008F00C7" w:rsidP="00F008CD">
            <w:pPr>
              <w:jc w:val="center"/>
              <w:rPr>
                <w:b/>
                <w:bCs/>
                <w:sz w:val="20"/>
                <w:szCs w:val="20"/>
              </w:rPr>
            </w:pPr>
            <w:r>
              <w:rPr>
                <w:b/>
                <w:bCs/>
                <w:sz w:val="20"/>
                <w:szCs w:val="20"/>
              </w:rPr>
              <w:t>N/A</w:t>
            </w:r>
          </w:p>
        </w:tc>
      </w:tr>
      <w:tr w:rsidR="008C7848" w:rsidRPr="004462A4" w14:paraId="7F52FA20" w14:textId="77777777" w:rsidTr="00F008CD">
        <w:trPr>
          <w:gridAfter w:val="1"/>
          <w:wAfter w:w="68" w:type="dxa"/>
          <w:trHeight w:val="334"/>
        </w:trPr>
        <w:tc>
          <w:tcPr>
            <w:tcW w:w="9067" w:type="dxa"/>
          </w:tcPr>
          <w:p w14:paraId="2309AB72" w14:textId="3A10CD68" w:rsidR="008C7848" w:rsidRPr="004462A4" w:rsidRDefault="008C7848" w:rsidP="001C75AE">
            <w:pPr>
              <w:pStyle w:val="ListParagraph"/>
              <w:numPr>
                <w:ilvl w:val="0"/>
                <w:numId w:val="5"/>
              </w:numPr>
              <w:rPr>
                <w:b/>
                <w:bCs/>
                <w:sz w:val="20"/>
                <w:szCs w:val="20"/>
              </w:rPr>
            </w:pPr>
            <w:r w:rsidRPr="004462A4">
              <w:rPr>
                <w:sz w:val="20"/>
                <w:szCs w:val="20"/>
              </w:rPr>
              <w:t>The household cannot afford to</w:t>
            </w:r>
            <w:r w:rsidR="00D7667C" w:rsidRPr="004462A4">
              <w:rPr>
                <w:sz w:val="20"/>
                <w:szCs w:val="20"/>
              </w:rPr>
              <w:t xml:space="preserve"> service,</w:t>
            </w:r>
            <w:r w:rsidRPr="004462A4">
              <w:rPr>
                <w:sz w:val="20"/>
                <w:szCs w:val="20"/>
              </w:rPr>
              <w:t xml:space="preserve"> </w:t>
            </w:r>
            <w:r w:rsidR="00687E02" w:rsidRPr="004462A4">
              <w:rPr>
                <w:sz w:val="20"/>
                <w:szCs w:val="20"/>
              </w:rPr>
              <w:t>repair,</w:t>
            </w:r>
            <w:r w:rsidRPr="004462A4">
              <w:rPr>
                <w:sz w:val="20"/>
                <w:szCs w:val="20"/>
              </w:rPr>
              <w:t xml:space="preserve"> or replace the </w:t>
            </w:r>
            <w:r w:rsidR="00D7667C" w:rsidRPr="004462A4">
              <w:rPr>
                <w:sz w:val="20"/>
                <w:szCs w:val="20"/>
              </w:rPr>
              <w:t>unsafe pipework or essential gas appliance;</w:t>
            </w:r>
            <w:r w:rsidRPr="004462A4">
              <w:rPr>
                <w:sz w:val="20"/>
                <w:szCs w:val="20"/>
              </w:rPr>
              <w:t xml:space="preserve"> and;</w:t>
            </w:r>
          </w:p>
          <w:p w14:paraId="36E8D9A7" w14:textId="078C0E35" w:rsidR="008C7848" w:rsidRPr="004462A4" w:rsidRDefault="008C7848" w:rsidP="008C7848">
            <w:pPr>
              <w:rPr>
                <w:sz w:val="20"/>
                <w:szCs w:val="20"/>
              </w:rPr>
            </w:pPr>
          </w:p>
        </w:tc>
        <w:tc>
          <w:tcPr>
            <w:tcW w:w="1066" w:type="dxa"/>
            <w:vAlign w:val="center"/>
          </w:tcPr>
          <w:p w14:paraId="1DF29BE2" w14:textId="64BF1FC1" w:rsidR="008C7848" w:rsidRPr="004462A4" w:rsidRDefault="008F00C7" w:rsidP="00F008CD">
            <w:pPr>
              <w:jc w:val="center"/>
              <w:rPr>
                <w:b/>
                <w:bCs/>
                <w:sz w:val="20"/>
                <w:szCs w:val="20"/>
              </w:rPr>
            </w:pPr>
            <w:r>
              <w:rPr>
                <w:b/>
                <w:bCs/>
                <w:sz w:val="20"/>
                <w:szCs w:val="20"/>
              </w:rPr>
              <w:t>N/A</w:t>
            </w:r>
          </w:p>
        </w:tc>
      </w:tr>
      <w:tr w:rsidR="008C7848" w:rsidRPr="004462A4" w14:paraId="254EA4BD" w14:textId="77777777" w:rsidTr="00F008CD">
        <w:trPr>
          <w:gridAfter w:val="1"/>
          <w:wAfter w:w="68" w:type="dxa"/>
          <w:trHeight w:val="334"/>
        </w:trPr>
        <w:tc>
          <w:tcPr>
            <w:tcW w:w="9067" w:type="dxa"/>
          </w:tcPr>
          <w:p w14:paraId="6438571E" w14:textId="6E966032" w:rsidR="008C7848" w:rsidRPr="004462A4" w:rsidRDefault="008C7848" w:rsidP="001C75AE">
            <w:pPr>
              <w:pStyle w:val="ListParagraph"/>
              <w:numPr>
                <w:ilvl w:val="0"/>
                <w:numId w:val="5"/>
              </w:numPr>
              <w:rPr>
                <w:b/>
                <w:bCs/>
                <w:sz w:val="20"/>
                <w:szCs w:val="20"/>
              </w:rPr>
            </w:pPr>
            <w:r w:rsidRPr="004462A4">
              <w:rPr>
                <w:sz w:val="20"/>
                <w:szCs w:val="20"/>
              </w:rPr>
              <w:t xml:space="preserve">Sufficient funding is not available from other sources (including national, </w:t>
            </w:r>
            <w:r w:rsidR="00687E02" w:rsidRPr="004462A4">
              <w:rPr>
                <w:sz w:val="20"/>
                <w:szCs w:val="20"/>
              </w:rPr>
              <w:t>devolved,</w:t>
            </w:r>
            <w:r w:rsidRPr="004462A4">
              <w:rPr>
                <w:sz w:val="20"/>
                <w:szCs w:val="20"/>
              </w:rPr>
              <w:t xml:space="preserve"> or local government funding) to fund the </w:t>
            </w:r>
            <w:r w:rsidR="00D7667C" w:rsidRPr="004462A4">
              <w:rPr>
                <w:sz w:val="20"/>
                <w:szCs w:val="20"/>
              </w:rPr>
              <w:t>unsafe pipework</w:t>
            </w:r>
            <w:r w:rsidRPr="004462A4">
              <w:rPr>
                <w:sz w:val="20"/>
                <w:szCs w:val="20"/>
              </w:rPr>
              <w:t xml:space="preserve"> </w:t>
            </w:r>
            <w:r w:rsidR="00D7667C" w:rsidRPr="004462A4">
              <w:rPr>
                <w:sz w:val="20"/>
                <w:szCs w:val="20"/>
              </w:rPr>
              <w:t xml:space="preserve">or essential gas appliance servicing, </w:t>
            </w:r>
            <w:r w:rsidR="00687E02" w:rsidRPr="004462A4">
              <w:rPr>
                <w:sz w:val="20"/>
                <w:szCs w:val="20"/>
              </w:rPr>
              <w:t>repair,</w:t>
            </w:r>
            <w:r w:rsidRPr="004462A4">
              <w:rPr>
                <w:sz w:val="20"/>
                <w:szCs w:val="20"/>
              </w:rPr>
              <w:t xml:space="preserve"> or replacement. </w:t>
            </w:r>
          </w:p>
          <w:p w14:paraId="741A3DD3" w14:textId="64B3E3D5" w:rsidR="008C7848" w:rsidRPr="004462A4" w:rsidRDefault="008C7848" w:rsidP="008C7848">
            <w:pPr>
              <w:rPr>
                <w:sz w:val="20"/>
                <w:szCs w:val="20"/>
              </w:rPr>
            </w:pPr>
          </w:p>
        </w:tc>
        <w:tc>
          <w:tcPr>
            <w:tcW w:w="1066" w:type="dxa"/>
            <w:vAlign w:val="center"/>
          </w:tcPr>
          <w:p w14:paraId="2DC2CD67" w14:textId="566D4B0C" w:rsidR="008C7848" w:rsidRPr="004462A4" w:rsidRDefault="008F00C7" w:rsidP="00F008CD">
            <w:pPr>
              <w:jc w:val="center"/>
              <w:rPr>
                <w:b/>
                <w:bCs/>
                <w:sz w:val="20"/>
                <w:szCs w:val="20"/>
              </w:rPr>
            </w:pPr>
            <w:r>
              <w:rPr>
                <w:b/>
                <w:bCs/>
                <w:sz w:val="20"/>
                <w:szCs w:val="20"/>
              </w:rPr>
              <w:t>N/A</w:t>
            </w:r>
          </w:p>
        </w:tc>
      </w:tr>
      <w:tr w:rsidR="008C7848" w:rsidRPr="004462A4" w14:paraId="03D6BC32" w14:textId="77777777" w:rsidTr="000C68A6">
        <w:trPr>
          <w:trHeight w:val="312"/>
        </w:trPr>
        <w:tc>
          <w:tcPr>
            <w:tcW w:w="10201" w:type="dxa"/>
            <w:gridSpan w:val="3"/>
          </w:tcPr>
          <w:p w14:paraId="7E1EAD51" w14:textId="798DC9D7" w:rsidR="008C7848" w:rsidRPr="004462A4" w:rsidRDefault="008C7848" w:rsidP="00BF541E">
            <w:pPr>
              <w:rPr>
                <w:b/>
                <w:bCs/>
                <w:sz w:val="20"/>
                <w:szCs w:val="20"/>
              </w:rPr>
            </w:pPr>
            <w:r w:rsidRPr="004462A4">
              <w:rPr>
                <w:b/>
                <w:bCs/>
                <w:sz w:val="20"/>
                <w:szCs w:val="20"/>
              </w:rPr>
              <w:t>Section 3 - Eligibility criteria for collaborative VCMA projects</w:t>
            </w:r>
          </w:p>
          <w:p w14:paraId="79EBEFAA" w14:textId="77777777" w:rsidR="008C7848" w:rsidRPr="004462A4" w:rsidRDefault="008C7848" w:rsidP="00BF541E">
            <w:pPr>
              <w:rPr>
                <w:b/>
                <w:bCs/>
                <w:sz w:val="20"/>
                <w:szCs w:val="20"/>
              </w:rPr>
            </w:pPr>
          </w:p>
          <w:p w14:paraId="44B07B7B" w14:textId="3829D200" w:rsidR="008C7848" w:rsidRPr="004462A4" w:rsidRDefault="008C7848" w:rsidP="00BF541E">
            <w:pPr>
              <w:rPr>
                <w:sz w:val="20"/>
                <w:szCs w:val="20"/>
              </w:rPr>
            </w:pPr>
            <w:r w:rsidRPr="004462A4">
              <w:rPr>
                <w:sz w:val="20"/>
                <w:szCs w:val="20"/>
              </w:rPr>
              <w:t>In order to qualify as a collaborative VCMA project, a project must:</w:t>
            </w:r>
          </w:p>
          <w:p w14:paraId="529D9E82" w14:textId="4F85378A" w:rsidR="008C7848" w:rsidRPr="004462A4" w:rsidRDefault="008C7848" w:rsidP="00BF541E">
            <w:pPr>
              <w:rPr>
                <w:b/>
                <w:bCs/>
                <w:sz w:val="20"/>
                <w:szCs w:val="20"/>
              </w:rPr>
            </w:pPr>
          </w:p>
        </w:tc>
      </w:tr>
      <w:tr w:rsidR="008C7848" w:rsidRPr="004462A4" w14:paraId="57FFDDF9" w14:textId="77777777" w:rsidTr="00F008CD">
        <w:trPr>
          <w:trHeight w:val="312"/>
        </w:trPr>
        <w:tc>
          <w:tcPr>
            <w:tcW w:w="9067" w:type="dxa"/>
          </w:tcPr>
          <w:p w14:paraId="648D9406" w14:textId="3A15207F" w:rsidR="008C7848" w:rsidRPr="004462A4" w:rsidRDefault="008C7848" w:rsidP="001C75AE">
            <w:pPr>
              <w:pStyle w:val="ListParagraph"/>
              <w:numPr>
                <w:ilvl w:val="0"/>
                <w:numId w:val="6"/>
              </w:numPr>
              <w:rPr>
                <w:b/>
                <w:bCs/>
                <w:sz w:val="20"/>
                <w:szCs w:val="20"/>
              </w:rPr>
            </w:pPr>
            <w:r w:rsidRPr="004462A4">
              <w:rPr>
                <w:sz w:val="20"/>
                <w:szCs w:val="20"/>
              </w:rPr>
              <w:t xml:space="preserve">Meet the above </w:t>
            </w:r>
            <w:r w:rsidR="009416EF" w:rsidRPr="004462A4">
              <w:rPr>
                <w:sz w:val="20"/>
                <w:szCs w:val="20"/>
              </w:rPr>
              <w:t>company specific and boiler repair and replace (if applicable) project eligibility criteria;</w:t>
            </w:r>
          </w:p>
          <w:p w14:paraId="5FFE6AE8" w14:textId="2ED60BC0" w:rsidR="008C7848" w:rsidRPr="004462A4" w:rsidRDefault="008C7848" w:rsidP="00BF541E">
            <w:pPr>
              <w:rPr>
                <w:b/>
                <w:bCs/>
                <w:sz w:val="20"/>
                <w:szCs w:val="20"/>
              </w:rPr>
            </w:pPr>
          </w:p>
        </w:tc>
        <w:tc>
          <w:tcPr>
            <w:tcW w:w="1134" w:type="dxa"/>
            <w:gridSpan w:val="2"/>
            <w:vAlign w:val="center"/>
          </w:tcPr>
          <w:p w14:paraId="3E582E95" w14:textId="17967B0F" w:rsidR="008C7848" w:rsidRPr="004462A4" w:rsidRDefault="008F00C7" w:rsidP="00F008CD">
            <w:pPr>
              <w:jc w:val="center"/>
              <w:rPr>
                <w:b/>
                <w:bCs/>
                <w:sz w:val="20"/>
                <w:szCs w:val="20"/>
              </w:rPr>
            </w:pPr>
            <w:r>
              <w:rPr>
                <w:b/>
                <w:bCs/>
                <w:sz w:val="20"/>
                <w:szCs w:val="20"/>
              </w:rPr>
              <w:t>N/A</w:t>
            </w:r>
          </w:p>
        </w:tc>
      </w:tr>
      <w:tr w:rsidR="008C7848" w:rsidRPr="004462A4" w14:paraId="75D55F38" w14:textId="77777777" w:rsidTr="00F008CD">
        <w:trPr>
          <w:trHeight w:val="312"/>
        </w:trPr>
        <w:tc>
          <w:tcPr>
            <w:tcW w:w="9067" w:type="dxa"/>
          </w:tcPr>
          <w:p w14:paraId="528AE9F2" w14:textId="2633E081" w:rsidR="008C7848" w:rsidRPr="004462A4" w:rsidRDefault="009416EF" w:rsidP="001C75AE">
            <w:pPr>
              <w:pStyle w:val="ListParagraph"/>
              <w:numPr>
                <w:ilvl w:val="0"/>
                <w:numId w:val="6"/>
              </w:numPr>
              <w:rPr>
                <w:b/>
                <w:bCs/>
                <w:sz w:val="20"/>
                <w:szCs w:val="20"/>
              </w:rPr>
            </w:pPr>
            <w:r w:rsidRPr="004462A4">
              <w:rPr>
                <w:sz w:val="20"/>
                <w:szCs w:val="20"/>
              </w:rPr>
              <w:t xml:space="preserve">Have the potential to </w:t>
            </w:r>
            <w:r w:rsidR="009F384D" w:rsidRPr="004462A4">
              <w:rPr>
                <w:sz w:val="20"/>
                <w:szCs w:val="20"/>
              </w:rPr>
              <w:t>b</w:t>
            </w:r>
            <w:r w:rsidRPr="004462A4">
              <w:rPr>
                <w:sz w:val="20"/>
                <w:szCs w:val="20"/>
              </w:rPr>
              <w:t>enefit c</w:t>
            </w:r>
            <w:r w:rsidR="009F384D" w:rsidRPr="004462A4">
              <w:rPr>
                <w:sz w:val="20"/>
                <w:szCs w:val="20"/>
              </w:rPr>
              <w:t>onsumers</w:t>
            </w:r>
            <w:r w:rsidRPr="004462A4">
              <w:rPr>
                <w:sz w:val="20"/>
                <w:szCs w:val="20"/>
              </w:rPr>
              <w:t xml:space="preserve"> on </w:t>
            </w:r>
            <w:r w:rsidR="009F384D" w:rsidRPr="004462A4">
              <w:rPr>
                <w:sz w:val="20"/>
                <w:szCs w:val="20"/>
              </w:rPr>
              <w:t xml:space="preserve">the </w:t>
            </w:r>
            <w:r w:rsidRPr="004462A4">
              <w:rPr>
                <w:sz w:val="20"/>
                <w:szCs w:val="20"/>
              </w:rPr>
              <w:t>participating networks; and</w:t>
            </w:r>
          </w:p>
          <w:p w14:paraId="0DF37D1D" w14:textId="6A441FF5" w:rsidR="008C7848" w:rsidRPr="004462A4" w:rsidRDefault="008C7848" w:rsidP="00BF541E">
            <w:pPr>
              <w:rPr>
                <w:b/>
                <w:bCs/>
                <w:sz w:val="20"/>
                <w:szCs w:val="20"/>
              </w:rPr>
            </w:pPr>
          </w:p>
        </w:tc>
        <w:tc>
          <w:tcPr>
            <w:tcW w:w="1134" w:type="dxa"/>
            <w:gridSpan w:val="2"/>
            <w:vAlign w:val="center"/>
          </w:tcPr>
          <w:p w14:paraId="51138B57" w14:textId="3BB9396B" w:rsidR="008C7848" w:rsidRPr="004462A4" w:rsidRDefault="008F00C7" w:rsidP="008F00C7">
            <w:pPr>
              <w:jc w:val="center"/>
              <w:rPr>
                <w:b/>
                <w:bCs/>
                <w:sz w:val="20"/>
                <w:szCs w:val="20"/>
              </w:rPr>
            </w:pPr>
            <w:r>
              <w:rPr>
                <w:b/>
                <w:bCs/>
                <w:sz w:val="20"/>
                <w:szCs w:val="20"/>
              </w:rPr>
              <w:t>Yes</w:t>
            </w:r>
          </w:p>
        </w:tc>
      </w:tr>
      <w:tr w:rsidR="009416EF" w:rsidRPr="004462A4" w14:paraId="48BAD2CE" w14:textId="77777777" w:rsidTr="00F008CD">
        <w:trPr>
          <w:trHeight w:val="312"/>
        </w:trPr>
        <w:tc>
          <w:tcPr>
            <w:tcW w:w="9067" w:type="dxa"/>
          </w:tcPr>
          <w:p w14:paraId="3484AC69" w14:textId="77777777" w:rsidR="009416EF" w:rsidRPr="004462A4" w:rsidRDefault="009416EF" w:rsidP="001C75AE">
            <w:pPr>
              <w:pStyle w:val="ListParagraph"/>
              <w:numPr>
                <w:ilvl w:val="0"/>
                <w:numId w:val="6"/>
              </w:numPr>
              <w:rPr>
                <w:b/>
                <w:bCs/>
                <w:sz w:val="20"/>
                <w:szCs w:val="20"/>
              </w:rPr>
            </w:pPr>
            <w:r w:rsidRPr="004462A4">
              <w:rPr>
                <w:sz w:val="20"/>
                <w:szCs w:val="20"/>
              </w:rPr>
              <w:t xml:space="preserve">Involve two, or more, gas distribution companies. </w:t>
            </w:r>
          </w:p>
          <w:p w14:paraId="295D3C80" w14:textId="6E4A53FB" w:rsidR="009416EF" w:rsidRPr="004462A4" w:rsidRDefault="009416EF" w:rsidP="009416EF">
            <w:pPr>
              <w:pStyle w:val="ListParagraph"/>
              <w:rPr>
                <w:b/>
                <w:bCs/>
                <w:sz w:val="20"/>
                <w:szCs w:val="20"/>
              </w:rPr>
            </w:pPr>
          </w:p>
        </w:tc>
        <w:tc>
          <w:tcPr>
            <w:tcW w:w="1134" w:type="dxa"/>
            <w:gridSpan w:val="2"/>
            <w:vAlign w:val="center"/>
          </w:tcPr>
          <w:p w14:paraId="78E6C906" w14:textId="1067809B" w:rsidR="009416EF" w:rsidRPr="004462A4" w:rsidRDefault="008F00C7" w:rsidP="008F00C7">
            <w:pPr>
              <w:jc w:val="center"/>
              <w:rPr>
                <w:b/>
                <w:bCs/>
                <w:sz w:val="20"/>
                <w:szCs w:val="20"/>
              </w:rPr>
            </w:pPr>
            <w:r>
              <w:rPr>
                <w:b/>
                <w:bCs/>
                <w:sz w:val="20"/>
                <w:szCs w:val="20"/>
              </w:rPr>
              <w:t>Yes</w:t>
            </w:r>
          </w:p>
        </w:tc>
      </w:tr>
    </w:tbl>
    <w:p w14:paraId="1CD60A9B" w14:textId="77777777" w:rsidR="00625F1D" w:rsidRDefault="00625F1D" w:rsidP="00BF541E">
      <w:pPr>
        <w:rPr>
          <w:b/>
          <w:bCs/>
          <w:sz w:val="20"/>
          <w:szCs w:val="20"/>
        </w:rPr>
      </w:pPr>
    </w:p>
    <w:p w14:paraId="03E730B4" w14:textId="77777777" w:rsidR="00263B44" w:rsidRDefault="00263B44" w:rsidP="00BF541E">
      <w:pPr>
        <w:rPr>
          <w:b/>
          <w:bCs/>
          <w:sz w:val="20"/>
          <w:szCs w:val="20"/>
        </w:rPr>
      </w:pPr>
    </w:p>
    <w:p w14:paraId="69737512" w14:textId="77777777" w:rsidR="00263B44" w:rsidRDefault="00263B44" w:rsidP="00BF541E">
      <w:pPr>
        <w:rPr>
          <w:b/>
          <w:bCs/>
          <w:sz w:val="20"/>
          <w:szCs w:val="20"/>
        </w:rPr>
      </w:pPr>
    </w:p>
    <w:p w14:paraId="15CFCE8A" w14:textId="77777777" w:rsidR="00263B44" w:rsidRDefault="00263B44" w:rsidP="00BF541E">
      <w:pPr>
        <w:rPr>
          <w:b/>
          <w:bCs/>
          <w:sz w:val="20"/>
          <w:szCs w:val="20"/>
        </w:rPr>
      </w:pPr>
    </w:p>
    <w:p w14:paraId="2795D119" w14:textId="77777777" w:rsidR="00263B44" w:rsidRDefault="00263B44" w:rsidP="00BF541E">
      <w:pPr>
        <w:rPr>
          <w:b/>
          <w:bCs/>
          <w:sz w:val="20"/>
          <w:szCs w:val="20"/>
        </w:rPr>
      </w:pPr>
    </w:p>
    <w:p w14:paraId="008E1BC5" w14:textId="77777777" w:rsidR="00263B44" w:rsidRDefault="00263B44" w:rsidP="00BF541E">
      <w:pPr>
        <w:rPr>
          <w:b/>
          <w:bCs/>
          <w:sz w:val="20"/>
          <w:szCs w:val="20"/>
        </w:rPr>
      </w:pPr>
    </w:p>
    <w:p w14:paraId="3E0F6C24" w14:textId="77777777" w:rsidR="00263B44" w:rsidRDefault="00263B44" w:rsidP="00BF541E">
      <w:pPr>
        <w:rPr>
          <w:b/>
          <w:bCs/>
          <w:sz w:val="20"/>
          <w:szCs w:val="20"/>
        </w:rPr>
      </w:pPr>
    </w:p>
    <w:p w14:paraId="573E16A5" w14:textId="77777777" w:rsidR="00263B44" w:rsidRDefault="00263B44" w:rsidP="00BF541E">
      <w:pPr>
        <w:rPr>
          <w:b/>
          <w:bCs/>
          <w:sz w:val="20"/>
          <w:szCs w:val="20"/>
        </w:rPr>
      </w:pPr>
    </w:p>
    <w:p w14:paraId="4D8EE115" w14:textId="77777777" w:rsidR="00263B44" w:rsidRDefault="00263B44" w:rsidP="00BF541E">
      <w:pPr>
        <w:rPr>
          <w:b/>
          <w:bCs/>
          <w:sz w:val="20"/>
          <w:szCs w:val="20"/>
        </w:rPr>
      </w:pPr>
    </w:p>
    <w:p w14:paraId="13053763" w14:textId="77777777" w:rsidR="00263B44" w:rsidRDefault="00263B44" w:rsidP="00BF541E">
      <w:pPr>
        <w:rPr>
          <w:b/>
          <w:bCs/>
          <w:sz w:val="20"/>
          <w:szCs w:val="20"/>
        </w:rPr>
      </w:pPr>
    </w:p>
    <w:p w14:paraId="5B41BF11" w14:textId="77777777" w:rsidR="00263B44" w:rsidRDefault="00263B44" w:rsidP="00BF541E">
      <w:pPr>
        <w:rPr>
          <w:b/>
          <w:bCs/>
          <w:sz w:val="20"/>
          <w:szCs w:val="20"/>
        </w:rPr>
      </w:pPr>
    </w:p>
    <w:p w14:paraId="6DC40995" w14:textId="77777777" w:rsidR="00263B44" w:rsidRDefault="00263B44" w:rsidP="00BF541E">
      <w:pPr>
        <w:rPr>
          <w:b/>
          <w:bCs/>
          <w:sz w:val="20"/>
          <w:szCs w:val="20"/>
        </w:rPr>
      </w:pPr>
    </w:p>
    <w:p w14:paraId="55D4A52D" w14:textId="77777777" w:rsidR="00263B44" w:rsidRDefault="00263B44" w:rsidP="00BF541E">
      <w:pPr>
        <w:rPr>
          <w:b/>
          <w:bCs/>
          <w:sz w:val="20"/>
          <w:szCs w:val="20"/>
        </w:rPr>
      </w:pPr>
    </w:p>
    <w:p w14:paraId="592C49B7" w14:textId="77777777" w:rsidR="00263B44" w:rsidRDefault="00263B44" w:rsidP="00BF541E">
      <w:pPr>
        <w:rPr>
          <w:b/>
          <w:bCs/>
          <w:sz w:val="20"/>
          <w:szCs w:val="20"/>
        </w:rPr>
      </w:pPr>
    </w:p>
    <w:p w14:paraId="24100931" w14:textId="77777777" w:rsidR="00263B44" w:rsidRDefault="00263B44" w:rsidP="00BF541E">
      <w:pPr>
        <w:rPr>
          <w:b/>
          <w:bCs/>
          <w:sz w:val="20"/>
          <w:szCs w:val="20"/>
        </w:rPr>
      </w:pPr>
    </w:p>
    <w:p w14:paraId="63F604F3" w14:textId="1314E7DF" w:rsidR="00477240" w:rsidRPr="004462A4" w:rsidRDefault="0044254E" w:rsidP="00BF541E">
      <w:pPr>
        <w:rPr>
          <w:b/>
          <w:bCs/>
          <w:sz w:val="20"/>
          <w:szCs w:val="20"/>
        </w:rPr>
      </w:pPr>
      <w:r w:rsidRPr="004462A4">
        <w:rPr>
          <w:b/>
          <w:bCs/>
          <w:sz w:val="20"/>
          <w:szCs w:val="20"/>
        </w:rPr>
        <w:lastRenderedPageBreak/>
        <w:t>Gas Network Vulnerability and Carbon Monoxide Allowance (VCMA) Governance Document - Project Registration Table 2</w:t>
      </w:r>
    </w:p>
    <w:p w14:paraId="3237AA2F" w14:textId="77777777" w:rsidR="0044254E" w:rsidRPr="004462A4" w:rsidRDefault="0044254E" w:rsidP="00BF541E">
      <w:pPr>
        <w:rPr>
          <w:sz w:val="20"/>
          <w:szCs w:val="20"/>
        </w:rPr>
      </w:pPr>
    </w:p>
    <w:tbl>
      <w:tblPr>
        <w:tblStyle w:val="TableGrid"/>
        <w:tblW w:w="5000" w:type="pct"/>
        <w:tblLook w:val="04A0" w:firstRow="1" w:lastRow="0" w:firstColumn="1" w:lastColumn="0" w:noHBand="0" w:noVBand="1"/>
      </w:tblPr>
      <w:tblGrid>
        <w:gridCol w:w="2032"/>
        <w:gridCol w:w="8424"/>
      </w:tblGrid>
      <w:tr w:rsidR="001A0F9B" w:rsidRPr="004462A4" w14:paraId="11689FA5" w14:textId="77777777" w:rsidTr="00E24930">
        <w:trPr>
          <w:trHeight w:val="239"/>
        </w:trPr>
        <w:tc>
          <w:tcPr>
            <w:tcW w:w="972" w:type="pct"/>
          </w:tcPr>
          <w:p w14:paraId="237061DE" w14:textId="77777777" w:rsidR="00BA125F" w:rsidRPr="004462A4" w:rsidRDefault="00BA125F" w:rsidP="00BA125F">
            <w:pPr>
              <w:pStyle w:val="ChartSubtitle"/>
              <w:rPr>
                <w:b/>
                <w:bCs/>
                <w:szCs w:val="20"/>
              </w:rPr>
            </w:pPr>
          </w:p>
          <w:p w14:paraId="7B89EEF6" w14:textId="40C14F3D" w:rsidR="00BA125F" w:rsidRPr="004462A4" w:rsidRDefault="00BA125F" w:rsidP="00BA125F">
            <w:pPr>
              <w:pStyle w:val="ChartSubtitle"/>
              <w:rPr>
                <w:b/>
                <w:bCs/>
                <w:szCs w:val="20"/>
              </w:rPr>
            </w:pPr>
            <w:r w:rsidRPr="004462A4">
              <w:rPr>
                <w:b/>
                <w:bCs/>
                <w:szCs w:val="20"/>
              </w:rPr>
              <w:t>Information Required</w:t>
            </w:r>
          </w:p>
          <w:p w14:paraId="6A77C7BC" w14:textId="2967508D" w:rsidR="00BA125F" w:rsidRPr="004462A4" w:rsidRDefault="00BA125F" w:rsidP="00BA125F">
            <w:pPr>
              <w:pStyle w:val="ChartSubtitle"/>
              <w:rPr>
                <w:b/>
                <w:bCs/>
                <w:szCs w:val="20"/>
              </w:rPr>
            </w:pPr>
          </w:p>
        </w:tc>
        <w:tc>
          <w:tcPr>
            <w:tcW w:w="4028" w:type="pct"/>
          </w:tcPr>
          <w:p w14:paraId="365978DA" w14:textId="77777777" w:rsidR="00BA125F" w:rsidRPr="004462A4" w:rsidRDefault="00BA125F" w:rsidP="00BA125F">
            <w:pPr>
              <w:pStyle w:val="ChartSubtitle"/>
              <w:rPr>
                <w:szCs w:val="20"/>
              </w:rPr>
            </w:pPr>
          </w:p>
          <w:p w14:paraId="1036625F" w14:textId="141D3604" w:rsidR="00BA125F" w:rsidRPr="004462A4" w:rsidRDefault="00BA125F" w:rsidP="00BA125F">
            <w:pPr>
              <w:pStyle w:val="ChartSubtitle"/>
              <w:rPr>
                <w:b/>
                <w:bCs/>
                <w:szCs w:val="20"/>
              </w:rPr>
            </w:pPr>
            <w:r w:rsidRPr="004462A4">
              <w:rPr>
                <w:b/>
                <w:bCs/>
                <w:szCs w:val="20"/>
              </w:rPr>
              <w:t>Description</w:t>
            </w:r>
          </w:p>
        </w:tc>
      </w:tr>
      <w:tr w:rsidR="001A0F9B" w:rsidRPr="004462A4" w14:paraId="29B3204B" w14:textId="77777777" w:rsidTr="00E24930">
        <w:trPr>
          <w:trHeight w:val="228"/>
        </w:trPr>
        <w:tc>
          <w:tcPr>
            <w:tcW w:w="972" w:type="pct"/>
          </w:tcPr>
          <w:p w14:paraId="24727852" w14:textId="4D6DC686" w:rsidR="00D113D7" w:rsidRPr="004462A4" w:rsidRDefault="00D113D7" w:rsidP="00D113D7">
            <w:pPr>
              <w:pStyle w:val="ChartSubtitle"/>
              <w:rPr>
                <w:b/>
                <w:bCs/>
                <w:szCs w:val="20"/>
              </w:rPr>
            </w:pPr>
            <w:r w:rsidRPr="004462A4">
              <w:rPr>
                <w:b/>
                <w:bCs/>
                <w:szCs w:val="20"/>
              </w:rPr>
              <w:t>Project Title</w:t>
            </w:r>
          </w:p>
          <w:p w14:paraId="75C13B34" w14:textId="57DF1697" w:rsidR="00D113D7" w:rsidRPr="004462A4" w:rsidRDefault="00D113D7" w:rsidP="00D113D7">
            <w:pPr>
              <w:pStyle w:val="ChartSubtitle"/>
              <w:rPr>
                <w:b/>
                <w:bCs/>
                <w:szCs w:val="20"/>
              </w:rPr>
            </w:pPr>
          </w:p>
        </w:tc>
        <w:tc>
          <w:tcPr>
            <w:tcW w:w="4028" w:type="pct"/>
          </w:tcPr>
          <w:p w14:paraId="110937EC" w14:textId="77829D3D" w:rsidR="00D113D7" w:rsidRPr="00966350" w:rsidRDefault="008F00C7" w:rsidP="00D113D7">
            <w:pPr>
              <w:pStyle w:val="ChartSubtitle"/>
              <w:rPr>
                <w:rFonts w:cstheme="minorHAnsi"/>
                <w:color w:val="auto"/>
                <w:sz w:val="22"/>
              </w:rPr>
            </w:pPr>
            <w:r w:rsidRPr="00966350">
              <w:rPr>
                <w:rFonts w:cstheme="minorHAnsi"/>
                <w:color w:val="auto"/>
                <w:sz w:val="22"/>
              </w:rPr>
              <w:t xml:space="preserve">Cost of Living Project </w:t>
            </w:r>
            <w:r w:rsidR="005B01F6" w:rsidRPr="00966350">
              <w:rPr>
                <w:rFonts w:cstheme="minorHAnsi"/>
                <w:color w:val="auto"/>
                <w:sz w:val="22"/>
              </w:rPr>
              <w:t xml:space="preserve">– YMCA </w:t>
            </w:r>
          </w:p>
        </w:tc>
      </w:tr>
      <w:tr w:rsidR="001A0F9B" w:rsidRPr="004462A4" w14:paraId="149C9F00" w14:textId="77777777" w:rsidTr="00E24930">
        <w:trPr>
          <w:trHeight w:val="239"/>
        </w:trPr>
        <w:tc>
          <w:tcPr>
            <w:tcW w:w="972" w:type="pct"/>
          </w:tcPr>
          <w:p w14:paraId="5A7546BC" w14:textId="77777777" w:rsidR="00D113D7" w:rsidRPr="004462A4" w:rsidRDefault="00D113D7" w:rsidP="00D113D7">
            <w:pPr>
              <w:pStyle w:val="ChartSubtitle"/>
              <w:rPr>
                <w:b/>
                <w:bCs/>
                <w:szCs w:val="20"/>
              </w:rPr>
            </w:pPr>
            <w:r w:rsidRPr="004462A4">
              <w:rPr>
                <w:b/>
                <w:bCs/>
                <w:szCs w:val="20"/>
              </w:rPr>
              <w:t>Funding GDN(s)</w:t>
            </w:r>
          </w:p>
          <w:p w14:paraId="57EAA2A1" w14:textId="55C750D8" w:rsidR="00D113D7" w:rsidRPr="004462A4" w:rsidRDefault="00D113D7" w:rsidP="00D113D7">
            <w:pPr>
              <w:pStyle w:val="ChartSubtitle"/>
              <w:rPr>
                <w:b/>
                <w:bCs/>
                <w:szCs w:val="20"/>
              </w:rPr>
            </w:pPr>
          </w:p>
        </w:tc>
        <w:tc>
          <w:tcPr>
            <w:tcW w:w="4028" w:type="pct"/>
          </w:tcPr>
          <w:p w14:paraId="5F6DDBF8" w14:textId="4D3E6B16" w:rsidR="00155607" w:rsidRPr="00966350" w:rsidRDefault="008F00C7" w:rsidP="00D113D7">
            <w:pPr>
              <w:pStyle w:val="ChartSubtitle"/>
              <w:rPr>
                <w:rFonts w:cstheme="minorHAnsi"/>
                <w:color w:val="auto"/>
                <w:sz w:val="22"/>
              </w:rPr>
            </w:pPr>
            <w:r w:rsidRPr="00966350">
              <w:rPr>
                <w:rFonts w:cstheme="minorHAnsi"/>
                <w:color w:val="auto"/>
                <w:sz w:val="22"/>
              </w:rPr>
              <w:t>Cadent, SGN, Wales &amp; West Utilities</w:t>
            </w:r>
          </w:p>
        </w:tc>
      </w:tr>
      <w:tr w:rsidR="00D152A1" w:rsidRPr="004462A4" w14:paraId="6DCA2B90" w14:textId="77777777" w:rsidTr="00E24930">
        <w:trPr>
          <w:trHeight w:val="239"/>
        </w:trPr>
        <w:tc>
          <w:tcPr>
            <w:tcW w:w="972" w:type="pct"/>
          </w:tcPr>
          <w:p w14:paraId="535C971B" w14:textId="17526CD6" w:rsidR="00D152A1" w:rsidRPr="003F2445" w:rsidRDefault="00D152A1" w:rsidP="00D113D7">
            <w:pPr>
              <w:pStyle w:val="ChartSubtitle"/>
              <w:rPr>
                <w:b/>
                <w:bCs/>
                <w:color w:val="auto"/>
                <w:szCs w:val="20"/>
              </w:rPr>
            </w:pPr>
            <w:r w:rsidRPr="003F2445">
              <w:rPr>
                <w:b/>
                <w:bCs/>
                <w:color w:val="auto"/>
                <w:szCs w:val="20"/>
              </w:rPr>
              <w:t>New/Updated (indicate as appropriate)</w:t>
            </w:r>
          </w:p>
        </w:tc>
        <w:tc>
          <w:tcPr>
            <w:tcW w:w="4028" w:type="pct"/>
          </w:tcPr>
          <w:p w14:paraId="221DD6E7" w14:textId="6B3876D2" w:rsidR="00D152A1" w:rsidRPr="003F2445" w:rsidRDefault="00D152A1" w:rsidP="00D113D7">
            <w:pPr>
              <w:pStyle w:val="ChartSubtitle"/>
              <w:rPr>
                <w:rFonts w:cstheme="minorHAnsi"/>
                <w:color w:val="auto"/>
                <w:sz w:val="22"/>
              </w:rPr>
            </w:pPr>
            <w:r w:rsidRPr="003F2445">
              <w:rPr>
                <w:rFonts w:cstheme="minorHAnsi"/>
                <w:color w:val="auto"/>
                <w:sz w:val="22"/>
              </w:rPr>
              <w:t>New</w:t>
            </w:r>
          </w:p>
        </w:tc>
      </w:tr>
      <w:tr w:rsidR="001A0F9B" w:rsidRPr="004462A4" w14:paraId="720242E9" w14:textId="77777777" w:rsidTr="00E24930">
        <w:trPr>
          <w:trHeight w:val="239"/>
        </w:trPr>
        <w:tc>
          <w:tcPr>
            <w:tcW w:w="972" w:type="pct"/>
          </w:tcPr>
          <w:p w14:paraId="6E74412C" w14:textId="5BA55F74" w:rsidR="00D113D7" w:rsidRPr="004462A4" w:rsidRDefault="00D113D7" w:rsidP="00D113D7">
            <w:pPr>
              <w:pStyle w:val="ChartSubtitle"/>
              <w:rPr>
                <w:b/>
                <w:bCs/>
                <w:szCs w:val="20"/>
              </w:rPr>
            </w:pPr>
            <w:r w:rsidRPr="004462A4">
              <w:rPr>
                <w:b/>
                <w:bCs/>
                <w:szCs w:val="20"/>
              </w:rPr>
              <w:t>Role of GDN(s)</w:t>
            </w:r>
          </w:p>
          <w:p w14:paraId="724BD5C1" w14:textId="7740065E" w:rsidR="00D113D7" w:rsidRPr="004462A4" w:rsidRDefault="00D113D7" w:rsidP="00D113D7">
            <w:pPr>
              <w:pStyle w:val="ChartSubtitle"/>
              <w:rPr>
                <w:b/>
                <w:bCs/>
                <w:szCs w:val="20"/>
              </w:rPr>
            </w:pPr>
            <w:r w:rsidRPr="004462A4">
              <w:rPr>
                <w:b/>
                <w:bCs/>
                <w:szCs w:val="20"/>
              </w:rPr>
              <w:t>*For Collaborative VCMA Projects only</w:t>
            </w:r>
          </w:p>
          <w:p w14:paraId="578C77AC" w14:textId="3CED1610" w:rsidR="00D113D7" w:rsidRPr="004462A4" w:rsidRDefault="00D113D7" w:rsidP="00D113D7">
            <w:pPr>
              <w:pStyle w:val="ChartSubtitle"/>
              <w:rPr>
                <w:b/>
                <w:bCs/>
                <w:szCs w:val="20"/>
              </w:rPr>
            </w:pPr>
          </w:p>
        </w:tc>
        <w:tc>
          <w:tcPr>
            <w:tcW w:w="4028" w:type="pct"/>
          </w:tcPr>
          <w:p w14:paraId="6BDFCF3E" w14:textId="77777777" w:rsidR="00155607" w:rsidRPr="00966350" w:rsidRDefault="008F00C7" w:rsidP="00155607">
            <w:pPr>
              <w:pStyle w:val="ChartSubtitle"/>
              <w:rPr>
                <w:rFonts w:cstheme="minorHAnsi"/>
                <w:color w:val="auto"/>
                <w:sz w:val="22"/>
              </w:rPr>
            </w:pPr>
            <w:r w:rsidRPr="00966350">
              <w:rPr>
                <w:rFonts w:cstheme="minorHAnsi"/>
                <w:color w:val="auto"/>
                <w:sz w:val="22"/>
              </w:rPr>
              <w:t xml:space="preserve">Cadent – Project Lead </w:t>
            </w:r>
          </w:p>
          <w:p w14:paraId="2AAC0459" w14:textId="77777777" w:rsidR="008F00C7" w:rsidRPr="00966350" w:rsidRDefault="008F00C7" w:rsidP="00155607">
            <w:pPr>
              <w:pStyle w:val="ChartSubtitle"/>
              <w:rPr>
                <w:rFonts w:cstheme="minorHAnsi"/>
                <w:color w:val="auto"/>
                <w:sz w:val="22"/>
              </w:rPr>
            </w:pPr>
          </w:p>
          <w:p w14:paraId="4DE31565" w14:textId="2D0A4E59" w:rsidR="008F00C7" w:rsidRPr="00966350" w:rsidRDefault="008F00C7" w:rsidP="00155607">
            <w:pPr>
              <w:pStyle w:val="ChartSubtitle"/>
              <w:rPr>
                <w:rFonts w:cstheme="minorHAnsi"/>
                <w:color w:val="auto"/>
                <w:sz w:val="22"/>
              </w:rPr>
            </w:pPr>
            <w:r w:rsidRPr="00966350">
              <w:rPr>
                <w:rFonts w:cstheme="minorHAnsi"/>
                <w:color w:val="auto"/>
                <w:sz w:val="22"/>
              </w:rPr>
              <w:t xml:space="preserve">SGN &amp; WWU - </w:t>
            </w:r>
            <w:r w:rsidR="00E36870" w:rsidRPr="00966350">
              <w:rPr>
                <w:rFonts w:cstheme="minorHAnsi"/>
                <w:color w:val="auto"/>
                <w:sz w:val="22"/>
              </w:rPr>
              <w:t>Project participants</w:t>
            </w:r>
          </w:p>
          <w:p w14:paraId="42D7F5EC" w14:textId="2DD20B95" w:rsidR="008F00C7" w:rsidRPr="00966350" w:rsidRDefault="008F00C7" w:rsidP="00155607">
            <w:pPr>
              <w:pStyle w:val="ChartSubtitle"/>
              <w:rPr>
                <w:rFonts w:cstheme="minorHAnsi"/>
                <w:color w:val="auto"/>
                <w:sz w:val="22"/>
              </w:rPr>
            </w:pPr>
          </w:p>
        </w:tc>
      </w:tr>
      <w:tr w:rsidR="001A0F9B" w:rsidRPr="004462A4" w14:paraId="18B76A75" w14:textId="77777777" w:rsidTr="00E24930">
        <w:trPr>
          <w:trHeight w:val="228"/>
        </w:trPr>
        <w:tc>
          <w:tcPr>
            <w:tcW w:w="972" w:type="pct"/>
          </w:tcPr>
          <w:p w14:paraId="6223B0EE" w14:textId="314264AE" w:rsidR="00D113D7" w:rsidRPr="004462A4" w:rsidRDefault="00D113D7" w:rsidP="00D113D7">
            <w:pPr>
              <w:pStyle w:val="ChartSubtitle"/>
              <w:rPr>
                <w:b/>
                <w:bCs/>
                <w:szCs w:val="20"/>
              </w:rPr>
            </w:pPr>
            <w:r w:rsidRPr="004462A4">
              <w:rPr>
                <w:b/>
                <w:bCs/>
                <w:szCs w:val="20"/>
              </w:rPr>
              <w:t>Date of PEA Submission</w:t>
            </w:r>
          </w:p>
          <w:p w14:paraId="5BCDDF3A" w14:textId="7CF51B42" w:rsidR="00D113D7" w:rsidRPr="004462A4" w:rsidRDefault="00D113D7" w:rsidP="00D113D7">
            <w:pPr>
              <w:pStyle w:val="ChartSubtitle"/>
              <w:rPr>
                <w:b/>
                <w:bCs/>
                <w:szCs w:val="20"/>
              </w:rPr>
            </w:pPr>
          </w:p>
        </w:tc>
        <w:tc>
          <w:tcPr>
            <w:tcW w:w="4028" w:type="pct"/>
          </w:tcPr>
          <w:p w14:paraId="03F99435" w14:textId="67BB33AF" w:rsidR="00D113D7" w:rsidRPr="00966350" w:rsidRDefault="003B24C0" w:rsidP="00D113D7">
            <w:pPr>
              <w:pStyle w:val="ChartSubtitle"/>
              <w:rPr>
                <w:rFonts w:cstheme="minorHAnsi"/>
                <w:color w:val="auto"/>
                <w:sz w:val="22"/>
              </w:rPr>
            </w:pPr>
            <w:r>
              <w:rPr>
                <w:rFonts w:cstheme="minorHAnsi"/>
                <w:color w:val="auto"/>
                <w:sz w:val="22"/>
              </w:rPr>
              <w:t xml:space="preserve">November </w:t>
            </w:r>
            <w:r w:rsidR="00E36870" w:rsidRPr="00966350">
              <w:rPr>
                <w:rFonts w:cstheme="minorHAnsi"/>
                <w:color w:val="auto"/>
                <w:sz w:val="22"/>
              </w:rPr>
              <w:t xml:space="preserve">2024 </w:t>
            </w:r>
          </w:p>
        </w:tc>
      </w:tr>
      <w:tr w:rsidR="001A0F9B" w:rsidRPr="004462A4" w14:paraId="7D9093EA" w14:textId="77777777" w:rsidTr="00E24930">
        <w:trPr>
          <w:trHeight w:val="239"/>
        </w:trPr>
        <w:tc>
          <w:tcPr>
            <w:tcW w:w="972" w:type="pct"/>
          </w:tcPr>
          <w:p w14:paraId="6839A924" w14:textId="5823620D" w:rsidR="00D113D7" w:rsidRPr="004462A4" w:rsidRDefault="00D113D7" w:rsidP="00D113D7">
            <w:pPr>
              <w:pStyle w:val="ChartSubtitle"/>
              <w:rPr>
                <w:b/>
                <w:bCs/>
                <w:szCs w:val="20"/>
              </w:rPr>
            </w:pPr>
            <w:r w:rsidRPr="004462A4">
              <w:rPr>
                <w:b/>
                <w:bCs/>
                <w:szCs w:val="20"/>
              </w:rPr>
              <w:t xml:space="preserve">VCMA Project Contact Name, </w:t>
            </w:r>
            <w:r w:rsidR="00687E02" w:rsidRPr="004462A4">
              <w:rPr>
                <w:b/>
                <w:bCs/>
                <w:szCs w:val="20"/>
              </w:rPr>
              <w:t>email,</w:t>
            </w:r>
            <w:r w:rsidRPr="004462A4">
              <w:rPr>
                <w:b/>
                <w:bCs/>
                <w:szCs w:val="20"/>
              </w:rPr>
              <w:t xml:space="preserve"> and Number</w:t>
            </w:r>
          </w:p>
          <w:p w14:paraId="4F7BBCA1" w14:textId="0E478157" w:rsidR="00D113D7" w:rsidRPr="004462A4" w:rsidRDefault="00D113D7" w:rsidP="00D113D7">
            <w:pPr>
              <w:pStyle w:val="ChartSubtitle"/>
              <w:rPr>
                <w:b/>
                <w:bCs/>
                <w:szCs w:val="20"/>
              </w:rPr>
            </w:pPr>
          </w:p>
        </w:tc>
        <w:tc>
          <w:tcPr>
            <w:tcW w:w="4028" w:type="pct"/>
          </w:tcPr>
          <w:p w14:paraId="0E90428A" w14:textId="77777777" w:rsidR="002C78EB" w:rsidRPr="002C78EB" w:rsidRDefault="002C78EB" w:rsidP="002C78EB">
            <w:pPr>
              <w:pStyle w:val="ChartSubtitle"/>
              <w:rPr>
                <w:rFonts w:cstheme="minorHAnsi"/>
                <w:color w:val="auto"/>
                <w:sz w:val="22"/>
              </w:rPr>
            </w:pPr>
            <w:r w:rsidRPr="002C78EB">
              <w:rPr>
                <w:rFonts w:cstheme="minorHAnsi"/>
                <w:color w:val="auto"/>
                <w:sz w:val="22"/>
              </w:rPr>
              <w:t>Name: Phil Burrows </w:t>
            </w:r>
          </w:p>
          <w:p w14:paraId="4F555C5B" w14:textId="77777777" w:rsidR="002C78EB" w:rsidRPr="002C78EB" w:rsidRDefault="002C78EB" w:rsidP="002C78EB">
            <w:pPr>
              <w:pStyle w:val="ChartSubtitle"/>
              <w:rPr>
                <w:rFonts w:cstheme="minorHAnsi"/>
                <w:color w:val="auto"/>
                <w:sz w:val="22"/>
              </w:rPr>
            </w:pPr>
            <w:r w:rsidRPr="002C78EB">
              <w:rPr>
                <w:rFonts w:cstheme="minorHAnsi"/>
                <w:color w:val="auto"/>
                <w:sz w:val="22"/>
              </w:rPr>
              <w:t>Title: Head of Customer Vulnerability Social Programme Delivery </w:t>
            </w:r>
          </w:p>
          <w:p w14:paraId="18C5000E" w14:textId="77777777" w:rsidR="002C78EB" w:rsidRPr="002C78EB" w:rsidRDefault="002C78EB" w:rsidP="002C78EB">
            <w:pPr>
              <w:pStyle w:val="ChartSubtitle"/>
              <w:rPr>
                <w:rFonts w:cstheme="minorHAnsi"/>
                <w:color w:val="auto"/>
                <w:sz w:val="22"/>
              </w:rPr>
            </w:pPr>
            <w:r w:rsidRPr="002C78EB">
              <w:rPr>
                <w:rFonts w:cstheme="minorHAnsi"/>
                <w:color w:val="auto"/>
                <w:sz w:val="22"/>
              </w:rPr>
              <w:t>Email: Phil.m.burrows@cadentgas.com </w:t>
            </w:r>
          </w:p>
          <w:p w14:paraId="589FC943" w14:textId="77777777" w:rsidR="002C78EB" w:rsidRPr="002C78EB" w:rsidRDefault="002C78EB" w:rsidP="002C78EB">
            <w:pPr>
              <w:pStyle w:val="ChartSubtitle"/>
              <w:rPr>
                <w:rFonts w:cstheme="minorHAnsi"/>
                <w:color w:val="auto"/>
                <w:sz w:val="22"/>
              </w:rPr>
            </w:pPr>
            <w:r w:rsidRPr="002C78EB">
              <w:rPr>
                <w:rFonts w:cstheme="minorHAnsi"/>
                <w:color w:val="auto"/>
                <w:sz w:val="22"/>
              </w:rPr>
              <w:t>Number: 07773 545451 </w:t>
            </w:r>
          </w:p>
          <w:p w14:paraId="59005A2F" w14:textId="3E3177D2" w:rsidR="00F008CD" w:rsidRPr="00966350" w:rsidRDefault="00F008CD" w:rsidP="002E1814">
            <w:pPr>
              <w:pStyle w:val="ChartSubtitle"/>
              <w:rPr>
                <w:rFonts w:cstheme="minorHAnsi"/>
                <w:color w:val="auto"/>
                <w:sz w:val="22"/>
              </w:rPr>
            </w:pPr>
          </w:p>
        </w:tc>
      </w:tr>
      <w:tr w:rsidR="001A0F9B" w:rsidRPr="004462A4" w14:paraId="7C490A7C" w14:textId="77777777" w:rsidTr="00E24930">
        <w:trPr>
          <w:trHeight w:val="239"/>
        </w:trPr>
        <w:tc>
          <w:tcPr>
            <w:tcW w:w="972" w:type="pct"/>
          </w:tcPr>
          <w:p w14:paraId="1E0C3C8D" w14:textId="3EDCF330" w:rsidR="00D113D7" w:rsidRPr="004462A4" w:rsidRDefault="00D113D7" w:rsidP="00D113D7">
            <w:pPr>
              <w:pStyle w:val="ChartSubtitle"/>
              <w:rPr>
                <w:b/>
                <w:bCs/>
                <w:szCs w:val="20"/>
              </w:rPr>
            </w:pPr>
            <w:r w:rsidRPr="004462A4">
              <w:rPr>
                <w:b/>
                <w:bCs/>
                <w:szCs w:val="20"/>
              </w:rPr>
              <w:t>Total Cost (£k)</w:t>
            </w:r>
          </w:p>
          <w:p w14:paraId="6D440649" w14:textId="19243B86" w:rsidR="00D113D7" w:rsidRPr="004462A4" w:rsidRDefault="00D113D7" w:rsidP="00D113D7">
            <w:pPr>
              <w:pStyle w:val="ChartSubtitle"/>
              <w:rPr>
                <w:b/>
                <w:bCs/>
                <w:szCs w:val="20"/>
              </w:rPr>
            </w:pPr>
          </w:p>
        </w:tc>
        <w:tc>
          <w:tcPr>
            <w:tcW w:w="4028" w:type="pct"/>
          </w:tcPr>
          <w:p w14:paraId="65B217D4" w14:textId="77774775" w:rsidR="00F008CD" w:rsidRPr="00966350" w:rsidRDefault="005B01F6" w:rsidP="00AB6E82">
            <w:pPr>
              <w:pStyle w:val="ChartSubtitle"/>
              <w:rPr>
                <w:rFonts w:cstheme="minorHAnsi"/>
                <w:color w:val="auto"/>
                <w:sz w:val="22"/>
              </w:rPr>
            </w:pPr>
            <w:r w:rsidRPr="00D65002">
              <w:rPr>
                <w:rFonts w:cstheme="minorHAnsi"/>
                <w:color w:val="auto"/>
                <w:sz w:val="22"/>
              </w:rPr>
              <w:t>£1,</w:t>
            </w:r>
            <w:r w:rsidR="0085088E">
              <w:rPr>
                <w:rFonts w:cstheme="minorHAnsi"/>
                <w:color w:val="auto"/>
                <w:sz w:val="22"/>
              </w:rPr>
              <w:t>39</w:t>
            </w:r>
            <w:r w:rsidR="002B0E90">
              <w:rPr>
                <w:rFonts w:cstheme="minorHAnsi"/>
                <w:color w:val="auto"/>
                <w:sz w:val="22"/>
              </w:rPr>
              <w:t>2</w:t>
            </w:r>
            <w:r w:rsidR="0085088E">
              <w:rPr>
                <w:rFonts w:cstheme="minorHAnsi"/>
                <w:color w:val="auto"/>
                <w:sz w:val="22"/>
              </w:rPr>
              <w:t>,800.00</w:t>
            </w:r>
            <w:r w:rsidRPr="00966350">
              <w:rPr>
                <w:rFonts w:cstheme="minorHAnsi"/>
                <w:color w:val="auto"/>
                <w:sz w:val="22"/>
              </w:rPr>
              <w:t xml:space="preserve"> (Exc VAT) over </w:t>
            </w:r>
            <w:r w:rsidR="00F272A2" w:rsidRPr="00966350">
              <w:rPr>
                <w:rFonts w:cstheme="minorHAnsi"/>
                <w:color w:val="auto"/>
                <w:sz w:val="22"/>
              </w:rPr>
              <w:t>1</w:t>
            </w:r>
            <w:r w:rsidR="00EB1B51">
              <w:rPr>
                <w:rFonts w:cstheme="minorHAnsi"/>
                <w:color w:val="auto"/>
                <w:sz w:val="22"/>
              </w:rPr>
              <w:t>4</w:t>
            </w:r>
            <w:r w:rsidR="003B24C0">
              <w:rPr>
                <w:rFonts w:cstheme="minorHAnsi"/>
                <w:color w:val="auto"/>
                <w:sz w:val="22"/>
              </w:rPr>
              <w:t xml:space="preserve"> </w:t>
            </w:r>
            <w:r w:rsidRPr="00966350">
              <w:rPr>
                <w:rFonts w:cstheme="minorHAnsi"/>
                <w:color w:val="auto"/>
                <w:sz w:val="22"/>
              </w:rPr>
              <w:t xml:space="preserve">months </w:t>
            </w:r>
          </w:p>
        </w:tc>
      </w:tr>
      <w:tr w:rsidR="001A0F9B" w:rsidRPr="004462A4" w14:paraId="268A9355" w14:textId="77777777" w:rsidTr="00E24930">
        <w:trPr>
          <w:trHeight w:val="239"/>
        </w:trPr>
        <w:tc>
          <w:tcPr>
            <w:tcW w:w="972" w:type="pct"/>
          </w:tcPr>
          <w:p w14:paraId="7B37EE1A" w14:textId="63C8FA9E" w:rsidR="00D113D7" w:rsidRPr="004462A4" w:rsidRDefault="00D113D7" w:rsidP="00D113D7">
            <w:pPr>
              <w:pStyle w:val="ChartSubtitle"/>
              <w:rPr>
                <w:b/>
                <w:bCs/>
                <w:szCs w:val="20"/>
              </w:rPr>
            </w:pPr>
            <w:r w:rsidRPr="004462A4">
              <w:rPr>
                <w:b/>
                <w:bCs/>
                <w:szCs w:val="20"/>
              </w:rPr>
              <w:t>Total VCMA Funding Required (£k)</w:t>
            </w:r>
          </w:p>
          <w:p w14:paraId="205F3494" w14:textId="2D42EAD6" w:rsidR="00D113D7" w:rsidRPr="004462A4" w:rsidRDefault="00D113D7" w:rsidP="00D113D7">
            <w:pPr>
              <w:pStyle w:val="ChartSubtitle"/>
              <w:rPr>
                <w:b/>
                <w:bCs/>
                <w:szCs w:val="20"/>
              </w:rPr>
            </w:pPr>
          </w:p>
        </w:tc>
        <w:tc>
          <w:tcPr>
            <w:tcW w:w="4028" w:type="pct"/>
          </w:tcPr>
          <w:p w14:paraId="70211068" w14:textId="4A8215AF" w:rsidR="00155607" w:rsidRPr="00966350" w:rsidRDefault="00155607" w:rsidP="00155607">
            <w:pPr>
              <w:pStyle w:val="ChartSubtitle"/>
              <w:rPr>
                <w:rFonts w:cstheme="minorHAnsi"/>
                <w:color w:val="auto"/>
                <w:sz w:val="22"/>
              </w:rPr>
            </w:pPr>
          </w:p>
          <w:p w14:paraId="14E5ACD1" w14:textId="77777777" w:rsidR="005B01F6" w:rsidRPr="00966350" w:rsidRDefault="005B01F6" w:rsidP="00155607">
            <w:pPr>
              <w:pStyle w:val="ChartSubtitle"/>
              <w:rPr>
                <w:rFonts w:cstheme="minorHAnsi"/>
                <w:color w:val="auto"/>
                <w:sz w:val="22"/>
              </w:rPr>
            </w:pPr>
          </w:p>
          <w:tbl>
            <w:tblPr>
              <w:tblStyle w:val="TableGrid"/>
              <w:tblW w:w="0" w:type="auto"/>
              <w:tblLook w:val="04A0" w:firstRow="1" w:lastRow="0" w:firstColumn="1" w:lastColumn="0" w:noHBand="0" w:noVBand="1"/>
            </w:tblPr>
            <w:tblGrid>
              <w:gridCol w:w="1437"/>
              <w:gridCol w:w="1728"/>
              <w:gridCol w:w="2264"/>
              <w:gridCol w:w="2196"/>
            </w:tblGrid>
            <w:tr w:rsidR="00966350" w:rsidRPr="00966350" w14:paraId="12F0AEF5" w14:textId="5BEA18EA" w:rsidTr="005B01F6">
              <w:tc>
                <w:tcPr>
                  <w:tcW w:w="1437" w:type="dxa"/>
                </w:tcPr>
                <w:p w14:paraId="5DCB44F9" w14:textId="77777777" w:rsidR="005B01F6" w:rsidRPr="00966350" w:rsidRDefault="005B01F6" w:rsidP="005B01F6">
                  <w:pPr>
                    <w:pStyle w:val="ChartSubtitle"/>
                    <w:jc w:val="center"/>
                    <w:rPr>
                      <w:rFonts w:cstheme="minorHAnsi"/>
                      <w:color w:val="auto"/>
                      <w:sz w:val="22"/>
                    </w:rPr>
                  </w:pPr>
                </w:p>
              </w:tc>
              <w:tc>
                <w:tcPr>
                  <w:tcW w:w="1728" w:type="dxa"/>
                </w:tcPr>
                <w:p w14:paraId="5A21FD8A" w14:textId="14AB0EC0" w:rsidR="005B01F6" w:rsidRPr="00966350" w:rsidRDefault="005B01F6" w:rsidP="005B01F6">
                  <w:pPr>
                    <w:pStyle w:val="ChartSubtitle"/>
                    <w:jc w:val="center"/>
                    <w:rPr>
                      <w:rFonts w:cstheme="minorHAnsi"/>
                      <w:color w:val="auto"/>
                      <w:sz w:val="22"/>
                    </w:rPr>
                  </w:pPr>
                  <w:r w:rsidRPr="00966350">
                    <w:rPr>
                      <w:rFonts w:cstheme="minorHAnsi"/>
                      <w:color w:val="auto"/>
                      <w:sz w:val="22"/>
                    </w:rPr>
                    <w:t>Cost per GDN</w:t>
                  </w:r>
                </w:p>
              </w:tc>
              <w:tc>
                <w:tcPr>
                  <w:tcW w:w="2264" w:type="dxa"/>
                </w:tcPr>
                <w:p w14:paraId="6508855A" w14:textId="12F6CD06" w:rsidR="005B01F6" w:rsidRPr="00966350" w:rsidRDefault="005B01F6" w:rsidP="005B01F6">
                  <w:pPr>
                    <w:pStyle w:val="ChartSubtitle"/>
                    <w:jc w:val="center"/>
                    <w:rPr>
                      <w:rFonts w:cstheme="minorHAnsi"/>
                      <w:color w:val="auto"/>
                      <w:sz w:val="22"/>
                    </w:rPr>
                  </w:pPr>
                  <w:r w:rsidRPr="00966350">
                    <w:rPr>
                      <w:rFonts w:cstheme="minorHAnsi"/>
                      <w:color w:val="auto"/>
                      <w:sz w:val="22"/>
                    </w:rPr>
                    <w:t>Leaflets</w:t>
                  </w:r>
                </w:p>
              </w:tc>
              <w:tc>
                <w:tcPr>
                  <w:tcW w:w="2196" w:type="dxa"/>
                </w:tcPr>
                <w:p w14:paraId="3ECAA4DF" w14:textId="17C4CDC1" w:rsidR="005B01F6" w:rsidRPr="00966350" w:rsidRDefault="005B01F6" w:rsidP="005B01F6">
                  <w:pPr>
                    <w:pStyle w:val="ChartSubtitle"/>
                    <w:jc w:val="center"/>
                    <w:rPr>
                      <w:rFonts w:cstheme="minorHAnsi"/>
                      <w:color w:val="auto"/>
                      <w:sz w:val="22"/>
                    </w:rPr>
                  </w:pPr>
                  <w:r w:rsidRPr="00966350">
                    <w:rPr>
                      <w:rFonts w:cstheme="minorHAnsi"/>
                      <w:color w:val="auto"/>
                      <w:sz w:val="22"/>
                    </w:rPr>
                    <w:t>Total cost</w:t>
                  </w:r>
                </w:p>
              </w:tc>
            </w:tr>
            <w:tr w:rsidR="00D65002" w:rsidRPr="00966350" w14:paraId="08087E14" w14:textId="1D436751" w:rsidTr="005B01F6">
              <w:tc>
                <w:tcPr>
                  <w:tcW w:w="1437" w:type="dxa"/>
                </w:tcPr>
                <w:p w14:paraId="367497A4" w14:textId="4AB5B3DD" w:rsidR="00D65002" w:rsidRPr="00966350" w:rsidRDefault="00D65002" w:rsidP="00D65002">
                  <w:pPr>
                    <w:pStyle w:val="ChartSubtitle"/>
                    <w:jc w:val="center"/>
                    <w:rPr>
                      <w:rFonts w:cstheme="minorHAnsi"/>
                      <w:color w:val="auto"/>
                      <w:sz w:val="22"/>
                    </w:rPr>
                  </w:pPr>
                  <w:r w:rsidRPr="00966350">
                    <w:rPr>
                      <w:rFonts w:cstheme="minorHAnsi"/>
                      <w:color w:val="auto"/>
                      <w:sz w:val="22"/>
                    </w:rPr>
                    <w:t>Cadent</w:t>
                  </w:r>
                </w:p>
              </w:tc>
              <w:tc>
                <w:tcPr>
                  <w:tcW w:w="1728" w:type="dxa"/>
                </w:tcPr>
                <w:p w14:paraId="31EA2F9E" w14:textId="383F6BB9" w:rsidR="00D65002" w:rsidRPr="00D65002" w:rsidRDefault="00D65002" w:rsidP="00D65002">
                  <w:pPr>
                    <w:pStyle w:val="ChartSubtitle"/>
                    <w:jc w:val="center"/>
                    <w:rPr>
                      <w:rFonts w:cstheme="minorHAnsi"/>
                      <w:color w:val="auto"/>
                      <w:sz w:val="22"/>
                    </w:rPr>
                  </w:pPr>
                  <w:r w:rsidRPr="00D65002">
                    <w:rPr>
                      <w:rFonts w:cstheme="minorHAnsi"/>
                      <w:color w:val="auto"/>
                      <w:sz w:val="22"/>
                    </w:rPr>
                    <w:t>£614,400.00</w:t>
                  </w:r>
                </w:p>
              </w:tc>
              <w:tc>
                <w:tcPr>
                  <w:tcW w:w="2264" w:type="dxa"/>
                </w:tcPr>
                <w:p w14:paraId="00318D5B" w14:textId="5F9AA004" w:rsidR="00D65002" w:rsidRPr="00BA356B" w:rsidRDefault="0085088E" w:rsidP="00D65002">
                  <w:pPr>
                    <w:pStyle w:val="ChartSubtitle"/>
                    <w:jc w:val="center"/>
                    <w:rPr>
                      <w:rFonts w:cstheme="minorHAnsi"/>
                      <w:color w:val="auto"/>
                      <w:sz w:val="22"/>
                    </w:rPr>
                  </w:pPr>
                  <w:r>
                    <w:rPr>
                      <w:rFonts w:cstheme="minorHAnsi"/>
                      <w:color w:val="auto"/>
                      <w:sz w:val="22"/>
                    </w:rPr>
                    <w:t>NA</w:t>
                  </w:r>
                </w:p>
              </w:tc>
              <w:tc>
                <w:tcPr>
                  <w:tcW w:w="2196" w:type="dxa"/>
                </w:tcPr>
                <w:p w14:paraId="3DDF47D2" w14:textId="3708D039" w:rsidR="00D65002" w:rsidRPr="00966350" w:rsidRDefault="00BA356B" w:rsidP="00D65002">
                  <w:pPr>
                    <w:pStyle w:val="ChartSubtitle"/>
                    <w:jc w:val="center"/>
                    <w:rPr>
                      <w:rFonts w:cstheme="minorHAnsi"/>
                      <w:color w:val="auto"/>
                      <w:sz w:val="22"/>
                    </w:rPr>
                  </w:pPr>
                  <w:r>
                    <w:rPr>
                      <w:rFonts w:cstheme="minorHAnsi"/>
                      <w:color w:val="auto"/>
                      <w:sz w:val="22"/>
                    </w:rPr>
                    <w:t>£6</w:t>
                  </w:r>
                  <w:r w:rsidR="0085088E">
                    <w:rPr>
                      <w:rFonts w:cstheme="minorHAnsi"/>
                      <w:color w:val="auto"/>
                      <w:sz w:val="22"/>
                    </w:rPr>
                    <w:t>14,400.00</w:t>
                  </w:r>
                </w:p>
              </w:tc>
            </w:tr>
            <w:tr w:rsidR="00D65002" w:rsidRPr="00966350" w14:paraId="4D532163" w14:textId="20F7BD22" w:rsidTr="005B01F6">
              <w:tc>
                <w:tcPr>
                  <w:tcW w:w="1437" w:type="dxa"/>
                </w:tcPr>
                <w:p w14:paraId="48D98A93" w14:textId="500BE0A9" w:rsidR="00D65002" w:rsidRPr="00966350" w:rsidRDefault="00D65002" w:rsidP="00D65002">
                  <w:pPr>
                    <w:pStyle w:val="ChartSubtitle"/>
                    <w:jc w:val="center"/>
                    <w:rPr>
                      <w:rFonts w:cstheme="minorHAnsi"/>
                      <w:color w:val="auto"/>
                      <w:sz w:val="22"/>
                    </w:rPr>
                  </w:pPr>
                  <w:r w:rsidRPr="00966350">
                    <w:rPr>
                      <w:rFonts w:cstheme="minorHAnsi"/>
                      <w:color w:val="auto"/>
                      <w:sz w:val="22"/>
                    </w:rPr>
                    <w:t>SGN</w:t>
                  </w:r>
                </w:p>
              </w:tc>
              <w:tc>
                <w:tcPr>
                  <w:tcW w:w="1728" w:type="dxa"/>
                </w:tcPr>
                <w:p w14:paraId="5CA6124B" w14:textId="5580B432" w:rsidR="00D65002" w:rsidRPr="00D65002" w:rsidRDefault="00D65002" w:rsidP="00D65002">
                  <w:pPr>
                    <w:pStyle w:val="ChartSubtitle"/>
                    <w:jc w:val="center"/>
                    <w:rPr>
                      <w:rFonts w:cstheme="minorHAnsi"/>
                      <w:color w:val="auto"/>
                      <w:sz w:val="22"/>
                    </w:rPr>
                  </w:pPr>
                  <w:r w:rsidRPr="00D65002">
                    <w:rPr>
                      <w:rFonts w:cstheme="minorHAnsi"/>
                      <w:color w:val="auto"/>
                      <w:sz w:val="22"/>
                    </w:rPr>
                    <w:t>£441,</w:t>
                  </w:r>
                  <w:r w:rsidR="007A688D">
                    <w:rPr>
                      <w:rFonts w:cstheme="minorHAnsi"/>
                      <w:color w:val="auto"/>
                      <w:sz w:val="22"/>
                    </w:rPr>
                    <w:t>6</w:t>
                  </w:r>
                  <w:r w:rsidRPr="00D65002">
                    <w:rPr>
                      <w:rFonts w:cstheme="minorHAnsi"/>
                      <w:color w:val="auto"/>
                      <w:sz w:val="22"/>
                    </w:rPr>
                    <w:t>00.00</w:t>
                  </w:r>
                </w:p>
              </w:tc>
              <w:tc>
                <w:tcPr>
                  <w:tcW w:w="2264" w:type="dxa"/>
                </w:tcPr>
                <w:p w14:paraId="6A189D30" w14:textId="338318D1" w:rsidR="00D65002" w:rsidRPr="00BA356B" w:rsidRDefault="003B24C0" w:rsidP="00D65002">
                  <w:pPr>
                    <w:pStyle w:val="ChartSubtitle"/>
                    <w:jc w:val="center"/>
                    <w:rPr>
                      <w:rFonts w:cstheme="minorHAnsi"/>
                      <w:color w:val="auto"/>
                      <w:sz w:val="22"/>
                    </w:rPr>
                  </w:pPr>
                  <w:r w:rsidRPr="00BA356B">
                    <w:rPr>
                      <w:rFonts w:cstheme="minorHAnsi"/>
                      <w:color w:val="auto"/>
                      <w:sz w:val="22"/>
                    </w:rPr>
                    <w:t>£</w:t>
                  </w:r>
                  <w:r w:rsidR="00C27776">
                    <w:rPr>
                      <w:rFonts w:cstheme="minorHAnsi"/>
                      <w:color w:val="auto"/>
                      <w:sz w:val="22"/>
                    </w:rPr>
                    <w:t>10</w:t>
                  </w:r>
                  <w:r w:rsidR="0085088E">
                    <w:rPr>
                      <w:rFonts w:cstheme="minorHAnsi"/>
                      <w:color w:val="auto"/>
                      <w:sz w:val="22"/>
                    </w:rPr>
                    <w:t>,000.00</w:t>
                  </w:r>
                </w:p>
              </w:tc>
              <w:tc>
                <w:tcPr>
                  <w:tcW w:w="2196" w:type="dxa"/>
                </w:tcPr>
                <w:p w14:paraId="5B1F8383" w14:textId="09FE8E28" w:rsidR="00D65002" w:rsidRPr="00966350" w:rsidRDefault="00BA356B" w:rsidP="00D65002">
                  <w:pPr>
                    <w:pStyle w:val="ChartSubtitle"/>
                    <w:jc w:val="center"/>
                    <w:rPr>
                      <w:rFonts w:cstheme="minorHAnsi"/>
                      <w:color w:val="auto"/>
                      <w:sz w:val="22"/>
                    </w:rPr>
                  </w:pPr>
                  <w:r>
                    <w:rPr>
                      <w:rFonts w:cstheme="minorHAnsi"/>
                      <w:color w:val="auto"/>
                      <w:sz w:val="22"/>
                    </w:rPr>
                    <w:t>£4</w:t>
                  </w:r>
                  <w:r w:rsidR="0085088E">
                    <w:rPr>
                      <w:rFonts w:cstheme="minorHAnsi"/>
                      <w:color w:val="auto"/>
                      <w:sz w:val="22"/>
                    </w:rPr>
                    <w:t>5</w:t>
                  </w:r>
                  <w:r w:rsidR="00060490">
                    <w:rPr>
                      <w:rFonts w:cstheme="minorHAnsi"/>
                      <w:color w:val="auto"/>
                      <w:sz w:val="22"/>
                    </w:rPr>
                    <w:t>1</w:t>
                  </w:r>
                  <w:r w:rsidR="0085088E">
                    <w:rPr>
                      <w:rFonts w:cstheme="minorHAnsi"/>
                      <w:color w:val="auto"/>
                      <w:sz w:val="22"/>
                    </w:rPr>
                    <w:t>,600.00</w:t>
                  </w:r>
                </w:p>
              </w:tc>
            </w:tr>
            <w:tr w:rsidR="00D65002" w:rsidRPr="00966350" w14:paraId="4E1CF29E" w14:textId="72398B7B" w:rsidTr="005B01F6">
              <w:tc>
                <w:tcPr>
                  <w:tcW w:w="1437" w:type="dxa"/>
                </w:tcPr>
                <w:p w14:paraId="4EE2F2C8" w14:textId="4CEDE636" w:rsidR="00D65002" w:rsidRPr="00966350" w:rsidRDefault="00D65002" w:rsidP="00D65002">
                  <w:pPr>
                    <w:pStyle w:val="ChartSubtitle"/>
                    <w:jc w:val="center"/>
                    <w:rPr>
                      <w:rFonts w:cstheme="minorHAnsi"/>
                      <w:color w:val="auto"/>
                      <w:sz w:val="22"/>
                    </w:rPr>
                  </w:pPr>
                  <w:r w:rsidRPr="00966350">
                    <w:rPr>
                      <w:rFonts w:cstheme="minorHAnsi"/>
                      <w:color w:val="auto"/>
                      <w:sz w:val="22"/>
                    </w:rPr>
                    <w:t>WWU</w:t>
                  </w:r>
                </w:p>
              </w:tc>
              <w:tc>
                <w:tcPr>
                  <w:tcW w:w="1728" w:type="dxa"/>
                </w:tcPr>
                <w:p w14:paraId="7388C57C" w14:textId="7835D089" w:rsidR="00D65002" w:rsidRPr="00D65002" w:rsidRDefault="00D65002" w:rsidP="00D65002">
                  <w:pPr>
                    <w:pStyle w:val="ChartSubtitle"/>
                    <w:jc w:val="center"/>
                    <w:rPr>
                      <w:rFonts w:cstheme="minorHAnsi"/>
                      <w:color w:val="auto"/>
                      <w:sz w:val="22"/>
                    </w:rPr>
                  </w:pPr>
                  <w:r w:rsidRPr="00D65002">
                    <w:rPr>
                      <w:rFonts w:cstheme="minorHAnsi"/>
                      <w:color w:val="auto"/>
                      <w:sz w:val="22"/>
                    </w:rPr>
                    <w:t>£316</w:t>
                  </w:r>
                  <w:r w:rsidR="00BA356B">
                    <w:rPr>
                      <w:rFonts w:cstheme="minorHAnsi"/>
                      <w:color w:val="auto"/>
                      <w:sz w:val="22"/>
                    </w:rPr>
                    <w:t>,</w:t>
                  </w:r>
                  <w:r w:rsidRPr="00D65002">
                    <w:rPr>
                      <w:rFonts w:cstheme="minorHAnsi"/>
                      <w:color w:val="auto"/>
                      <w:sz w:val="22"/>
                    </w:rPr>
                    <w:t>800.00</w:t>
                  </w:r>
                </w:p>
              </w:tc>
              <w:tc>
                <w:tcPr>
                  <w:tcW w:w="2264" w:type="dxa"/>
                </w:tcPr>
                <w:p w14:paraId="610D164A" w14:textId="462A0B01" w:rsidR="00D65002" w:rsidRPr="00BA356B" w:rsidRDefault="003B24C0" w:rsidP="00D65002">
                  <w:pPr>
                    <w:pStyle w:val="ChartSubtitle"/>
                    <w:jc w:val="center"/>
                    <w:rPr>
                      <w:rFonts w:cstheme="minorHAnsi"/>
                      <w:color w:val="auto"/>
                      <w:sz w:val="22"/>
                    </w:rPr>
                  </w:pPr>
                  <w:r w:rsidRPr="00BA356B">
                    <w:rPr>
                      <w:rFonts w:cstheme="minorHAnsi"/>
                      <w:color w:val="auto"/>
                      <w:sz w:val="22"/>
                    </w:rPr>
                    <w:t>£</w:t>
                  </w:r>
                  <w:r w:rsidR="0085088E">
                    <w:rPr>
                      <w:rFonts w:cstheme="minorHAnsi"/>
                      <w:color w:val="auto"/>
                      <w:sz w:val="22"/>
                    </w:rPr>
                    <w:t>10,000.00</w:t>
                  </w:r>
                </w:p>
              </w:tc>
              <w:tc>
                <w:tcPr>
                  <w:tcW w:w="2196" w:type="dxa"/>
                </w:tcPr>
                <w:p w14:paraId="24A8E01A" w14:textId="0606A29F" w:rsidR="00D65002" w:rsidRPr="00966350" w:rsidRDefault="00BA356B" w:rsidP="00D65002">
                  <w:pPr>
                    <w:pStyle w:val="ChartSubtitle"/>
                    <w:jc w:val="center"/>
                    <w:rPr>
                      <w:rFonts w:cstheme="minorHAnsi"/>
                      <w:color w:val="auto"/>
                      <w:sz w:val="22"/>
                    </w:rPr>
                  </w:pPr>
                  <w:r>
                    <w:rPr>
                      <w:rFonts w:cstheme="minorHAnsi"/>
                      <w:color w:val="auto"/>
                      <w:sz w:val="22"/>
                    </w:rPr>
                    <w:t>£3</w:t>
                  </w:r>
                  <w:r w:rsidR="0085088E">
                    <w:rPr>
                      <w:rFonts w:cstheme="minorHAnsi"/>
                      <w:color w:val="auto"/>
                      <w:sz w:val="22"/>
                    </w:rPr>
                    <w:t>26,800.00</w:t>
                  </w:r>
                </w:p>
              </w:tc>
            </w:tr>
            <w:tr w:rsidR="00D152A1" w:rsidRPr="00966350" w14:paraId="677FCF6F" w14:textId="77777777" w:rsidTr="003F2445">
              <w:trPr>
                <w:trHeight w:val="53"/>
              </w:trPr>
              <w:tc>
                <w:tcPr>
                  <w:tcW w:w="1437" w:type="dxa"/>
                </w:tcPr>
                <w:p w14:paraId="14BCD1AA" w14:textId="3E97641D" w:rsidR="00D152A1" w:rsidRPr="00966350" w:rsidRDefault="00D152A1" w:rsidP="00D65002">
                  <w:pPr>
                    <w:pStyle w:val="ChartSubtitle"/>
                    <w:jc w:val="center"/>
                    <w:rPr>
                      <w:rFonts w:cstheme="minorHAnsi"/>
                      <w:color w:val="auto"/>
                      <w:sz w:val="22"/>
                    </w:rPr>
                  </w:pPr>
                  <w:r>
                    <w:rPr>
                      <w:rFonts w:cstheme="minorHAnsi"/>
                      <w:color w:val="auto"/>
                      <w:sz w:val="22"/>
                    </w:rPr>
                    <w:t>Total</w:t>
                  </w:r>
                </w:p>
              </w:tc>
              <w:tc>
                <w:tcPr>
                  <w:tcW w:w="1728" w:type="dxa"/>
                </w:tcPr>
                <w:p w14:paraId="2AC42C38" w14:textId="2CB5D8D1" w:rsidR="00D152A1" w:rsidRPr="00D65002" w:rsidRDefault="00D152A1" w:rsidP="00D65002">
                  <w:pPr>
                    <w:pStyle w:val="ChartSubtitle"/>
                    <w:jc w:val="center"/>
                    <w:rPr>
                      <w:rFonts w:cstheme="minorHAnsi"/>
                      <w:color w:val="auto"/>
                      <w:sz w:val="22"/>
                    </w:rPr>
                  </w:pPr>
                  <w:r>
                    <w:rPr>
                      <w:rFonts w:cstheme="minorHAnsi"/>
                      <w:color w:val="auto"/>
                      <w:sz w:val="22"/>
                    </w:rPr>
                    <w:t>£1,372,800.00</w:t>
                  </w:r>
                </w:p>
              </w:tc>
              <w:tc>
                <w:tcPr>
                  <w:tcW w:w="2264" w:type="dxa"/>
                </w:tcPr>
                <w:p w14:paraId="42E1226E" w14:textId="26541F70" w:rsidR="00D152A1" w:rsidRPr="00BA356B" w:rsidRDefault="00D152A1" w:rsidP="00D65002">
                  <w:pPr>
                    <w:pStyle w:val="ChartSubtitle"/>
                    <w:jc w:val="center"/>
                    <w:rPr>
                      <w:rFonts w:cstheme="minorHAnsi"/>
                      <w:color w:val="auto"/>
                      <w:sz w:val="22"/>
                    </w:rPr>
                  </w:pPr>
                  <w:r>
                    <w:rPr>
                      <w:rFonts w:cstheme="minorHAnsi"/>
                      <w:color w:val="auto"/>
                      <w:sz w:val="22"/>
                    </w:rPr>
                    <w:t>£</w:t>
                  </w:r>
                  <w:r w:rsidR="00536913">
                    <w:rPr>
                      <w:rFonts w:cstheme="minorHAnsi"/>
                      <w:color w:val="auto"/>
                      <w:sz w:val="22"/>
                    </w:rPr>
                    <w:t>20</w:t>
                  </w:r>
                  <w:r w:rsidR="0085088E">
                    <w:rPr>
                      <w:rFonts w:cstheme="minorHAnsi"/>
                      <w:color w:val="auto"/>
                      <w:sz w:val="22"/>
                    </w:rPr>
                    <w:t>,000.00</w:t>
                  </w:r>
                </w:p>
              </w:tc>
              <w:tc>
                <w:tcPr>
                  <w:tcW w:w="2196" w:type="dxa"/>
                </w:tcPr>
                <w:p w14:paraId="51F2B7BE" w14:textId="3836EF4A" w:rsidR="00D152A1" w:rsidRDefault="00D152A1" w:rsidP="00D65002">
                  <w:pPr>
                    <w:pStyle w:val="ChartSubtitle"/>
                    <w:jc w:val="center"/>
                    <w:rPr>
                      <w:rFonts w:cstheme="minorHAnsi"/>
                      <w:color w:val="auto"/>
                      <w:sz w:val="22"/>
                    </w:rPr>
                  </w:pPr>
                  <w:r>
                    <w:rPr>
                      <w:rFonts w:cstheme="minorHAnsi"/>
                      <w:color w:val="auto"/>
                      <w:sz w:val="22"/>
                    </w:rPr>
                    <w:t>£1,</w:t>
                  </w:r>
                  <w:r w:rsidR="0085088E">
                    <w:rPr>
                      <w:rFonts w:cstheme="minorHAnsi"/>
                      <w:color w:val="auto"/>
                      <w:sz w:val="22"/>
                    </w:rPr>
                    <w:t>39</w:t>
                  </w:r>
                  <w:r w:rsidR="001453E1">
                    <w:rPr>
                      <w:rFonts w:cstheme="minorHAnsi"/>
                      <w:color w:val="auto"/>
                      <w:sz w:val="22"/>
                    </w:rPr>
                    <w:t>2</w:t>
                  </w:r>
                  <w:r w:rsidR="0085088E">
                    <w:rPr>
                      <w:rFonts w:cstheme="minorHAnsi"/>
                      <w:color w:val="auto"/>
                      <w:sz w:val="22"/>
                    </w:rPr>
                    <w:t>,800.00</w:t>
                  </w:r>
                </w:p>
              </w:tc>
            </w:tr>
          </w:tbl>
          <w:p w14:paraId="5C1C11A4" w14:textId="77777777" w:rsidR="005B01F6" w:rsidRDefault="005B01F6" w:rsidP="00155607">
            <w:pPr>
              <w:pStyle w:val="ChartSubtitle"/>
              <w:rPr>
                <w:rFonts w:cstheme="minorHAnsi"/>
                <w:color w:val="auto"/>
                <w:sz w:val="22"/>
              </w:rPr>
            </w:pPr>
          </w:p>
          <w:p w14:paraId="7F70D439" w14:textId="4E308BA0" w:rsidR="005A06CA" w:rsidRPr="00966350" w:rsidRDefault="005A06CA" w:rsidP="00155607">
            <w:pPr>
              <w:pStyle w:val="ChartSubtitle"/>
              <w:rPr>
                <w:rFonts w:cstheme="minorHAnsi"/>
                <w:color w:val="auto"/>
                <w:sz w:val="22"/>
              </w:rPr>
            </w:pPr>
          </w:p>
        </w:tc>
      </w:tr>
      <w:tr w:rsidR="001A0F9B" w:rsidRPr="004462A4" w14:paraId="16DE35CE" w14:textId="77777777" w:rsidTr="00E24930">
        <w:trPr>
          <w:trHeight w:val="239"/>
        </w:trPr>
        <w:tc>
          <w:tcPr>
            <w:tcW w:w="972" w:type="pct"/>
          </w:tcPr>
          <w:p w14:paraId="25C42C63" w14:textId="28B89FDC" w:rsidR="00D113D7" w:rsidRPr="004462A4" w:rsidRDefault="00D113D7" w:rsidP="00D113D7">
            <w:pPr>
              <w:pStyle w:val="ChartSubtitle"/>
              <w:rPr>
                <w:b/>
                <w:bCs/>
                <w:szCs w:val="20"/>
              </w:rPr>
            </w:pPr>
            <w:r w:rsidRPr="004462A4">
              <w:rPr>
                <w:b/>
                <w:bCs/>
                <w:szCs w:val="20"/>
              </w:rPr>
              <w:t>Problem(s)</w:t>
            </w:r>
          </w:p>
          <w:p w14:paraId="2E8765DB" w14:textId="071AAF4F" w:rsidR="00D113D7" w:rsidRPr="004462A4" w:rsidRDefault="00D113D7" w:rsidP="00D113D7">
            <w:pPr>
              <w:pStyle w:val="ChartSubtitle"/>
              <w:rPr>
                <w:b/>
                <w:bCs/>
                <w:szCs w:val="20"/>
              </w:rPr>
            </w:pPr>
          </w:p>
        </w:tc>
        <w:tc>
          <w:tcPr>
            <w:tcW w:w="4028" w:type="pct"/>
          </w:tcPr>
          <w:p w14:paraId="1B609361" w14:textId="18D7C456" w:rsidR="005B01F6" w:rsidRPr="00966350" w:rsidRDefault="005B01F6" w:rsidP="0082062E">
            <w:pPr>
              <w:pStyle w:val="ChartSubtitle"/>
              <w:rPr>
                <w:rFonts w:cstheme="minorHAnsi"/>
                <w:color w:val="auto"/>
                <w:sz w:val="22"/>
              </w:rPr>
            </w:pPr>
            <w:r w:rsidRPr="00966350">
              <w:rPr>
                <w:rFonts w:cstheme="minorHAnsi"/>
                <w:color w:val="auto"/>
                <w:sz w:val="22"/>
              </w:rPr>
              <w:t xml:space="preserve">The remit of </w:t>
            </w:r>
            <w:r w:rsidR="005C769B">
              <w:rPr>
                <w:rFonts w:cstheme="minorHAnsi"/>
                <w:color w:val="auto"/>
                <w:sz w:val="22"/>
              </w:rPr>
              <w:t xml:space="preserve">the </w:t>
            </w:r>
            <w:r w:rsidRPr="00966350">
              <w:rPr>
                <w:rFonts w:cstheme="minorHAnsi"/>
                <w:color w:val="auto"/>
                <w:sz w:val="22"/>
              </w:rPr>
              <w:t xml:space="preserve">YMCA is primarily to support vulnerable, disadvantaged, and disenfranchised people, as well as the wider communities in which </w:t>
            </w:r>
            <w:r w:rsidR="004259EA">
              <w:rPr>
                <w:rFonts w:cstheme="minorHAnsi"/>
                <w:color w:val="auto"/>
                <w:sz w:val="22"/>
              </w:rPr>
              <w:t>YMCAs</w:t>
            </w:r>
            <w:r w:rsidRPr="00966350">
              <w:rPr>
                <w:rFonts w:cstheme="minorHAnsi"/>
                <w:color w:val="auto"/>
                <w:sz w:val="22"/>
              </w:rPr>
              <w:t xml:space="preserve"> operate. This includes but is not limited to, low-income households, vulnerably housed individuals, people with poor physical and/or mental health, socially excluded and isolated people, and elderly people. Many people face multiple adversities or vulnerabilities. </w:t>
            </w:r>
          </w:p>
          <w:p w14:paraId="77BF901B" w14:textId="77777777" w:rsidR="005B01F6" w:rsidRPr="00966350" w:rsidRDefault="005B01F6" w:rsidP="0082062E">
            <w:pPr>
              <w:pStyle w:val="ChartSubtitle"/>
              <w:rPr>
                <w:rFonts w:cstheme="minorHAnsi"/>
                <w:color w:val="auto"/>
                <w:sz w:val="22"/>
              </w:rPr>
            </w:pPr>
          </w:p>
          <w:p w14:paraId="50289222" w14:textId="5FFC04C9" w:rsidR="00966350" w:rsidRDefault="005B01F6" w:rsidP="0082062E">
            <w:pPr>
              <w:pStyle w:val="ChartSubtitle"/>
              <w:rPr>
                <w:rFonts w:cstheme="minorHAnsi"/>
                <w:color w:val="auto"/>
                <w:sz w:val="22"/>
              </w:rPr>
            </w:pPr>
            <w:r w:rsidRPr="00966350">
              <w:rPr>
                <w:rFonts w:cstheme="minorHAnsi"/>
                <w:color w:val="auto"/>
                <w:sz w:val="22"/>
              </w:rPr>
              <w:t xml:space="preserve">The YMCA is concerned that the current economic climate (“the cost-of-living crisis”) which has seen significant and sustained rises in the cost of necessities such as food and fuel has, and will continue to, exacerbate existing vulnerabilities, and cause greater social and health issues for </w:t>
            </w:r>
            <w:r w:rsidR="007070E1">
              <w:rPr>
                <w:rFonts w:cstheme="minorHAnsi"/>
                <w:color w:val="auto"/>
                <w:sz w:val="22"/>
              </w:rPr>
              <w:t xml:space="preserve">families. </w:t>
            </w:r>
            <w:r w:rsidRPr="00966350">
              <w:rPr>
                <w:rFonts w:cstheme="minorHAnsi"/>
                <w:color w:val="auto"/>
                <w:sz w:val="22"/>
              </w:rPr>
              <w:t>Research has shown that those people amongst the hardest hit by the current economic climate include the poorest households, renters, single-parent households, and the older generation.</w:t>
            </w:r>
          </w:p>
          <w:p w14:paraId="34DA2D7D" w14:textId="77777777" w:rsidR="00BB4961" w:rsidRPr="00966350" w:rsidRDefault="00BB4961" w:rsidP="0082062E">
            <w:pPr>
              <w:pStyle w:val="ChartSubtitle"/>
              <w:rPr>
                <w:rFonts w:cstheme="minorHAnsi"/>
                <w:color w:val="auto"/>
                <w:sz w:val="22"/>
              </w:rPr>
            </w:pPr>
          </w:p>
          <w:p w14:paraId="2A089DAC" w14:textId="74425959" w:rsidR="001D1C08" w:rsidRDefault="00966350" w:rsidP="00966350">
            <w:pPr>
              <w:pStyle w:val="ChartSubtitle"/>
              <w:rPr>
                <w:rFonts w:cstheme="minorHAnsi"/>
                <w:color w:val="auto"/>
                <w:sz w:val="22"/>
              </w:rPr>
            </w:pPr>
            <w:r w:rsidRPr="00966350">
              <w:rPr>
                <w:rFonts w:cstheme="minorHAnsi"/>
                <w:color w:val="auto"/>
                <w:sz w:val="22"/>
              </w:rPr>
              <w:t xml:space="preserve">Cadent and </w:t>
            </w:r>
            <w:r w:rsidR="00E91ADB">
              <w:rPr>
                <w:rFonts w:cstheme="minorHAnsi"/>
                <w:color w:val="auto"/>
                <w:sz w:val="22"/>
              </w:rPr>
              <w:t>the</w:t>
            </w:r>
            <w:r w:rsidR="00072EEF">
              <w:rPr>
                <w:rFonts w:cstheme="minorHAnsi"/>
                <w:color w:val="auto"/>
                <w:sz w:val="22"/>
              </w:rPr>
              <w:t xml:space="preserve"> </w:t>
            </w:r>
            <w:r w:rsidRPr="00966350">
              <w:rPr>
                <w:rFonts w:cstheme="minorHAnsi"/>
                <w:color w:val="auto"/>
                <w:sz w:val="22"/>
              </w:rPr>
              <w:t xml:space="preserve">YMCA </w:t>
            </w:r>
            <w:r w:rsidR="00072EEF">
              <w:rPr>
                <w:rFonts w:cstheme="minorHAnsi"/>
                <w:color w:val="auto"/>
                <w:sz w:val="22"/>
              </w:rPr>
              <w:t>r</w:t>
            </w:r>
            <w:r w:rsidR="00DE41FB">
              <w:rPr>
                <w:rFonts w:cstheme="minorHAnsi"/>
                <w:color w:val="auto"/>
                <w:sz w:val="22"/>
              </w:rPr>
              <w:t>a</w:t>
            </w:r>
            <w:r w:rsidR="00072EEF">
              <w:rPr>
                <w:rFonts w:cstheme="minorHAnsi"/>
                <w:color w:val="auto"/>
                <w:sz w:val="22"/>
              </w:rPr>
              <w:t>n</w:t>
            </w:r>
            <w:r w:rsidRPr="00966350">
              <w:rPr>
                <w:rFonts w:cstheme="minorHAnsi"/>
                <w:color w:val="auto"/>
                <w:sz w:val="22"/>
              </w:rPr>
              <w:t xml:space="preserve"> </w:t>
            </w:r>
            <w:r w:rsidR="0077649C">
              <w:rPr>
                <w:rFonts w:cstheme="minorHAnsi"/>
                <w:color w:val="auto"/>
                <w:sz w:val="22"/>
              </w:rPr>
              <w:t>a</w:t>
            </w:r>
            <w:r w:rsidRPr="00966350">
              <w:rPr>
                <w:rFonts w:cstheme="minorHAnsi"/>
                <w:color w:val="auto"/>
                <w:sz w:val="22"/>
              </w:rPr>
              <w:t xml:space="preserve"> </w:t>
            </w:r>
            <w:r w:rsidR="00F27CDB">
              <w:rPr>
                <w:rFonts w:cstheme="minorHAnsi"/>
                <w:color w:val="auto"/>
                <w:sz w:val="22"/>
              </w:rPr>
              <w:t>‘</w:t>
            </w:r>
            <w:r w:rsidR="00AD62B7">
              <w:rPr>
                <w:rFonts w:cstheme="minorHAnsi"/>
                <w:color w:val="auto"/>
                <w:sz w:val="22"/>
              </w:rPr>
              <w:t>Cost of Living Project</w:t>
            </w:r>
            <w:r w:rsidR="00F27CDB">
              <w:rPr>
                <w:rFonts w:cstheme="minorHAnsi"/>
                <w:color w:val="auto"/>
                <w:sz w:val="22"/>
              </w:rPr>
              <w:t>’</w:t>
            </w:r>
            <w:r w:rsidR="00AD62B7">
              <w:rPr>
                <w:rFonts w:cstheme="minorHAnsi"/>
                <w:color w:val="auto"/>
                <w:sz w:val="22"/>
              </w:rPr>
              <w:t xml:space="preserve"> </w:t>
            </w:r>
            <w:r w:rsidRPr="00966350">
              <w:rPr>
                <w:rFonts w:cstheme="minorHAnsi"/>
                <w:color w:val="auto"/>
                <w:sz w:val="22"/>
              </w:rPr>
              <w:t>as a pilot</w:t>
            </w:r>
            <w:r w:rsidR="00952BE6">
              <w:rPr>
                <w:rFonts w:cstheme="minorHAnsi"/>
                <w:color w:val="auto"/>
                <w:sz w:val="22"/>
              </w:rPr>
              <w:t xml:space="preserve"> over</w:t>
            </w:r>
            <w:r w:rsidR="00DE41FB">
              <w:rPr>
                <w:rFonts w:cstheme="minorHAnsi"/>
                <w:color w:val="auto"/>
                <w:sz w:val="22"/>
              </w:rPr>
              <w:t xml:space="preserve"> </w:t>
            </w:r>
            <w:r w:rsidR="00EB1B51">
              <w:rPr>
                <w:rFonts w:cstheme="minorHAnsi"/>
                <w:color w:val="auto"/>
                <w:sz w:val="22"/>
              </w:rPr>
              <w:t>six</w:t>
            </w:r>
            <w:r w:rsidR="0077649C">
              <w:rPr>
                <w:rFonts w:cstheme="minorHAnsi"/>
                <w:color w:val="auto"/>
                <w:sz w:val="22"/>
              </w:rPr>
              <w:t xml:space="preserve"> months</w:t>
            </w:r>
            <w:r w:rsidR="00952BE6">
              <w:rPr>
                <w:rFonts w:cstheme="minorHAnsi"/>
                <w:color w:val="auto"/>
                <w:sz w:val="22"/>
              </w:rPr>
              <w:t xml:space="preserve"> </w:t>
            </w:r>
            <w:r w:rsidR="003F6C38">
              <w:rPr>
                <w:rFonts w:cstheme="minorHAnsi"/>
                <w:color w:val="auto"/>
                <w:sz w:val="22"/>
              </w:rPr>
              <w:t>(</w:t>
            </w:r>
            <w:r w:rsidR="007070E1">
              <w:rPr>
                <w:rFonts w:cstheme="minorHAnsi"/>
                <w:color w:val="auto"/>
                <w:sz w:val="22"/>
              </w:rPr>
              <w:t>0</w:t>
            </w:r>
            <w:r w:rsidR="003F6C38">
              <w:rPr>
                <w:rFonts w:cstheme="minorHAnsi"/>
                <w:color w:val="auto"/>
                <w:sz w:val="22"/>
              </w:rPr>
              <w:t>1</w:t>
            </w:r>
            <w:r w:rsidR="003F6C38" w:rsidRPr="003F6C38">
              <w:rPr>
                <w:rFonts w:cstheme="minorHAnsi"/>
                <w:color w:val="auto"/>
                <w:sz w:val="22"/>
                <w:vertAlign w:val="superscript"/>
              </w:rPr>
              <w:t>st</w:t>
            </w:r>
            <w:r w:rsidR="003F6C38">
              <w:rPr>
                <w:rFonts w:cstheme="minorHAnsi"/>
                <w:color w:val="auto"/>
                <w:sz w:val="22"/>
              </w:rPr>
              <w:t xml:space="preserve"> February</w:t>
            </w:r>
            <w:r w:rsidR="005170EB">
              <w:rPr>
                <w:rFonts w:cstheme="minorHAnsi"/>
                <w:color w:val="auto"/>
                <w:sz w:val="22"/>
              </w:rPr>
              <w:t xml:space="preserve"> – 31</w:t>
            </w:r>
            <w:r w:rsidR="005170EB" w:rsidRPr="005170EB">
              <w:rPr>
                <w:rFonts w:cstheme="minorHAnsi"/>
                <w:color w:val="auto"/>
                <w:sz w:val="22"/>
                <w:vertAlign w:val="superscript"/>
              </w:rPr>
              <w:t>st</w:t>
            </w:r>
            <w:r w:rsidR="005170EB">
              <w:rPr>
                <w:rFonts w:cstheme="minorHAnsi"/>
                <w:color w:val="auto"/>
                <w:sz w:val="22"/>
              </w:rPr>
              <w:t xml:space="preserve"> July 2024)</w:t>
            </w:r>
            <w:r w:rsidR="0077649C">
              <w:rPr>
                <w:rFonts w:cstheme="minorHAnsi"/>
                <w:color w:val="auto"/>
                <w:sz w:val="22"/>
              </w:rPr>
              <w:t>. This</w:t>
            </w:r>
            <w:r w:rsidR="00F45A70">
              <w:rPr>
                <w:rFonts w:cstheme="minorHAnsi"/>
                <w:color w:val="auto"/>
                <w:sz w:val="22"/>
              </w:rPr>
              <w:t xml:space="preserve"> was a huge success</w:t>
            </w:r>
            <w:r w:rsidR="00414971">
              <w:rPr>
                <w:rFonts w:cstheme="minorHAnsi"/>
                <w:color w:val="auto"/>
                <w:sz w:val="22"/>
              </w:rPr>
              <w:t xml:space="preserve">, reaching 35,033 individuals </w:t>
            </w:r>
            <w:r w:rsidR="006C34E4">
              <w:rPr>
                <w:rFonts w:cstheme="minorHAnsi"/>
                <w:color w:val="auto"/>
                <w:sz w:val="22"/>
              </w:rPr>
              <w:t xml:space="preserve">across 32 YMCAs </w:t>
            </w:r>
            <w:r w:rsidR="00414971">
              <w:rPr>
                <w:rFonts w:cstheme="minorHAnsi"/>
                <w:color w:val="auto"/>
                <w:sz w:val="22"/>
              </w:rPr>
              <w:t xml:space="preserve">with </w:t>
            </w:r>
            <w:r w:rsidR="006C34E4">
              <w:rPr>
                <w:rFonts w:cstheme="minorHAnsi"/>
                <w:color w:val="auto"/>
                <w:sz w:val="22"/>
              </w:rPr>
              <w:t>a</w:t>
            </w:r>
            <w:r w:rsidR="00414971">
              <w:rPr>
                <w:rFonts w:cstheme="minorHAnsi"/>
                <w:color w:val="auto"/>
                <w:sz w:val="22"/>
              </w:rPr>
              <w:t xml:space="preserve"> range of </w:t>
            </w:r>
            <w:r w:rsidR="007D0117">
              <w:rPr>
                <w:rFonts w:cstheme="minorHAnsi"/>
                <w:color w:val="auto"/>
                <w:sz w:val="22"/>
              </w:rPr>
              <w:t>cost-of-living</w:t>
            </w:r>
            <w:r w:rsidR="000770EF">
              <w:rPr>
                <w:rFonts w:cstheme="minorHAnsi"/>
                <w:color w:val="auto"/>
                <w:sz w:val="22"/>
              </w:rPr>
              <w:t xml:space="preserve"> support.</w:t>
            </w:r>
            <w:r w:rsidR="00351DC8">
              <w:rPr>
                <w:rFonts w:cstheme="minorHAnsi"/>
                <w:color w:val="auto"/>
                <w:sz w:val="22"/>
              </w:rPr>
              <w:t xml:space="preserve"> </w:t>
            </w:r>
            <w:r w:rsidR="008C574C">
              <w:rPr>
                <w:rFonts w:cstheme="minorHAnsi"/>
                <w:color w:val="auto"/>
                <w:sz w:val="22"/>
              </w:rPr>
              <w:t>Cadent and the YMCA are keen to see this project reinstated and extended until the end of March 2026 and scale the project to other locations.</w:t>
            </w:r>
          </w:p>
          <w:p w14:paraId="0B79C10D" w14:textId="77777777" w:rsidR="001D1C08" w:rsidRDefault="001D1C08" w:rsidP="00966350">
            <w:pPr>
              <w:pStyle w:val="ChartSubtitle"/>
              <w:rPr>
                <w:rFonts w:cstheme="minorHAnsi"/>
                <w:color w:val="auto"/>
                <w:sz w:val="22"/>
              </w:rPr>
            </w:pPr>
          </w:p>
          <w:p w14:paraId="33684882" w14:textId="5280CAB7" w:rsidR="001D1C08" w:rsidRDefault="001D1C08" w:rsidP="00966350">
            <w:pPr>
              <w:pStyle w:val="ChartSubtitle"/>
              <w:rPr>
                <w:rFonts w:cstheme="minorHAnsi"/>
                <w:color w:val="auto"/>
                <w:sz w:val="22"/>
              </w:rPr>
            </w:pPr>
            <w:hyperlink r:id="rId11" w:history="1">
              <w:r w:rsidRPr="001D1C08">
                <w:rPr>
                  <w:rStyle w:val="Hyperlink"/>
                  <w:rFonts w:cstheme="minorHAnsi"/>
                  <w:sz w:val="22"/>
                </w:rPr>
                <w:t>Cadent_Report_Template_One Column_Option3.docx (cadentgas.com)</w:t>
              </w:r>
            </w:hyperlink>
          </w:p>
          <w:p w14:paraId="34A043AC" w14:textId="77777777" w:rsidR="002C4449" w:rsidRDefault="002C4449" w:rsidP="00966350">
            <w:pPr>
              <w:pStyle w:val="ChartSubtitle"/>
              <w:rPr>
                <w:rFonts w:cstheme="minorHAnsi"/>
                <w:color w:val="auto"/>
                <w:sz w:val="22"/>
              </w:rPr>
            </w:pPr>
          </w:p>
          <w:p w14:paraId="6E7657CB" w14:textId="11567D5F" w:rsidR="00966350" w:rsidRPr="00966350" w:rsidRDefault="00BA35CE" w:rsidP="00966350">
            <w:pPr>
              <w:pStyle w:val="ChartSubtitle"/>
              <w:rPr>
                <w:rFonts w:cstheme="minorHAnsi"/>
                <w:color w:val="auto"/>
                <w:sz w:val="22"/>
              </w:rPr>
            </w:pPr>
            <w:r>
              <w:rPr>
                <w:rFonts w:cstheme="minorHAnsi"/>
                <w:color w:val="auto"/>
                <w:sz w:val="22"/>
              </w:rPr>
              <w:t>On reflection of the ‘Cost of Living’ project</w:t>
            </w:r>
            <w:r w:rsidR="000C090E">
              <w:rPr>
                <w:rFonts w:cstheme="minorHAnsi"/>
                <w:color w:val="auto"/>
                <w:sz w:val="22"/>
              </w:rPr>
              <w:t xml:space="preserve">, this </w:t>
            </w:r>
            <w:r w:rsidR="00966350" w:rsidRPr="00966350">
              <w:rPr>
                <w:color w:val="auto"/>
                <w:sz w:val="22"/>
                <w:szCs w:val="24"/>
              </w:rPr>
              <w:t xml:space="preserve">identified </w:t>
            </w:r>
            <w:r w:rsidR="006C118D">
              <w:rPr>
                <w:color w:val="auto"/>
                <w:sz w:val="22"/>
                <w:szCs w:val="24"/>
              </w:rPr>
              <w:t>a need beyond the Cadent areas</w:t>
            </w:r>
            <w:r w:rsidR="00D037C6">
              <w:rPr>
                <w:color w:val="auto"/>
                <w:sz w:val="22"/>
                <w:szCs w:val="24"/>
              </w:rPr>
              <w:t xml:space="preserve">. </w:t>
            </w:r>
            <w:r w:rsidR="000203A1" w:rsidRPr="000203A1">
              <w:rPr>
                <w:color w:val="auto"/>
                <w:sz w:val="22"/>
                <w:szCs w:val="24"/>
              </w:rPr>
              <w:t xml:space="preserve">By replicating and extending the work piloted by </w:t>
            </w:r>
            <w:r w:rsidR="00E91ADB">
              <w:rPr>
                <w:color w:val="auto"/>
                <w:sz w:val="22"/>
                <w:szCs w:val="24"/>
              </w:rPr>
              <w:t xml:space="preserve">the </w:t>
            </w:r>
            <w:r w:rsidR="000203A1" w:rsidRPr="000203A1">
              <w:rPr>
                <w:color w:val="auto"/>
                <w:sz w:val="22"/>
                <w:szCs w:val="24"/>
              </w:rPr>
              <w:t xml:space="preserve">YMCA and Cadent, </w:t>
            </w:r>
            <w:r w:rsidR="007070E1">
              <w:rPr>
                <w:color w:val="auto"/>
                <w:sz w:val="22"/>
                <w:szCs w:val="24"/>
              </w:rPr>
              <w:t>the project</w:t>
            </w:r>
            <w:r w:rsidR="000203A1" w:rsidRPr="000203A1">
              <w:rPr>
                <w:color w:val="auto"/>
                <w:sz w:val="22"/>
                <w:szCs w:val="24"/>
              </w:rPr>
              <w:t xml:space="preserve"> can support even more people in need across the communities served by </w:t>
            </w:r>
            <w:r w:rsidR="007070E1">
              <w:rPr>
                <w:color w:val="auto"/>
                <w:sz w:val="22"/>
                <w:szCs w:val="24"/>
              </w:rPr>
              <w:t>SGN and WWU</w:t>
            </w:r>
            <w:r w:rsidR="000203A1" w:rsidRPr="000203A1">
              <w:rPr>
                <w:color w:val="auto"/>
                <w:sz w:val="22"/>
                <w:szCs w:val="24"/>
              </w:rPr>
              <w:t xml:space="preserve"> in England, Scotland</w:t>
            </w:r>
            <w:r w:rsidR="00E91ADB">
              <w:rPr>
                <w:color w:val="auto"/>
                <w:sz w:val="22"/>
                <w:szCs w:val="24"/>
              </w:rPr>
              <w:t>,</w:t>
            </w:r>
            <w:r w:rsidR="000203A1" w:rsidRPr="000203A1">
              <w:rPr>
                <w:color w:val="auto"/>
                <w:sz w:val="22"/>
                <w:szCs w:val="24"/>
              </w:rPr>
              <w:t xml:space="preserve"> and Wales.</w:t>
            </w:r>
          </w:p>
          <w:p w14:paraId="4D130167" w14:textId="77777777" w:rsidR="00966350" w:rsidRPr="00966350" w:rsidRDefault="00966350" w:rsidP="00966350">
            <w:pPr>
              <w:pStyle w:val="ChartSubtitle"/>
              <w:jc w:val="both"/>
              <w:rPr>
                <w:color w:val="auto"/>
                <w:sz w:val="24"/>
                <w:szCs w:val="28"/>
                <w:u w:val="single"/>
              </w:rPr>
            </w:pPr>
          </w:p>
          <w:p w14:paraId="6D29B397" w14:textId="77777777" w:rsidR="00966350" w:rsidRPr="00966350" w:rsidRDefault="00966350" w:rsidP="00966350">
            <w:pPr>
              <w:pStyle w:val="ChartSubtitle"/>
              <w:jc w:val="both"/>
              <w:rPr>
                <w:color w:val="auto"/>
                <w:sz w:val="22"/>
                <w:szCs w:val="24"/>
              </w:rPr>
            </w:pPr>
            <w:r w:rsidRPr="00966350">
              <w:rPr>
                <w:color w:val="auto"/>
                <w:sz w:val="22"/>
                <w:szCs w:val="24"/>
              </w:rPr>
              <w:lastRenderedPageBreak/>
              <w:t>With 9,466 beds across England and Wales, their holistic support connects more than 20,000 people each year with case workers and provides access to life skills, healthy living activities, and budgeting sessions designed to help them to live independently. The aim for all people living in YMCA-supported accommodation is that there is support enabling people to move on to live in their own independent accommodation, whether this might be social housing or private rented accommodation.</w:t>
            </w:r>
          </w:p>
          <w:p w14:paraId="73DBACA0" w14:textId="77777777" w:rsidR="00966350" w:rsidRPr="005F0593" w:rsidRDefault="00966350" w:rsidP="00966350">
            <w:pPr>
              <w:pStyle w:val="ChartSubtitle"/>
              <w:jc w:val="both"/>
              <w:rPr>
                <w:color w:val="auto"/>
                <w:sz w:val="24"/>
                <w:szCs w:val="28"/>
                <w:u w:val="single"/>
              </w:rPr>
            </w:pPr>
          </w:p>
          <w:p w14:paraId="4D7A713B" w14:textId="41D5503D" w:rsidR="00966350" w:rsidRPr="0085206C" w:rsidRDefault="00966350" w:rsidP="00966350">
            <w:pPr>
              <w:pStyle w:val="ChartSubtitle"/>
              <w:jc w:val="both"/>
              <w:rPr>
                <w:color w:val="auto"/>
                <w:sz w:val="22"/>
                <w:szCs w:val="24"/>
              </w:rPr>
            </w:pPr>
            <w:r w:rsidRPr="0085206C">
              <w:rPr>
                <w:color w:val="auto"/>
                <w:sz w:val="22"/>
                <w:szCs w:val="24"/>
              </w:rPr>
              <w:t xml:space="preserve">While YMCA housing upholds safety regulations and provides a safe and positive space for vulnerable people, YMCA knows that some accommodation they move on to </w:t>
            </w:r>
            <w:r w:rsidR="00B771AD">
              <w:rPr>
                <w:color w:val="auto"/>
                <w:sz w:val="22"/>
                <w:szCs w:val="24"/>
              </w:rPr>
              <w:t>are</w:t>
            </w:r>
            <w:r w:rsidRPr="0085206C">
              <w:rPr>
                <w:color w:val="auto"/>
                <w:sz w:val="22"/>
                <w:szCs w:val="24"/>
              </w:rPr>
              <w:t xml:space="preserve"> unfortunately often not of the same quality – with issues of dampness, poor insulation, and other factors affecting fuel efficiency as well as sometimes having the absence of functioning smoke and carbon monoxide alarms. Furthermore, YMCA residents may lack awareness of housing regulations and the responsibilities of their landlord regarding their safety, so may not question any inadequacies nor identify hazards. Amongst those supported in YMCA accommodation are asylum seekers and care leavers, whose understanding of the issues would be significantly lower.</w:t>
            </w:r>
          </w:p>
          <w:p w14:paraId="57C2FD25" w14:textId="77777777" w:rsidR="00966350" w:rsidRDefault="00966350" w:rsidP="0082062E">
            <w:pPr>
              <w:pStyle w:val="ChartSubtitle"/>
              <w:rPr>
                <w:rFonts w:cstheme="minorHAnsi"/>
                <w:szCs w:val="20"/>
              </w:rPr>
            </w:pPr>
          </w:p>
          <w:p w14:paraId="1B5B4120" w14:textId="6302A6A2" w:rsidR="005B01F6" w:rsidRPr="00687E02" w:rsidRDefault="005B01F6" w:rsidP="0082062E">
            <w:pPr>
              <w:pStyle w:val="ChartSubtitle"/>
              <w:rPr>
                <w:rFonts w:cstheme="minorHAnsi"/>
                <w:szCs w:val="20"/>
              </w:rPr>
            </w:pPr>
          </w:p>
        </w:tc>
      </w:tr>
      <w:tr w:rsidR="001A0F9B" w:rsidRPr="004462A4" w14:paraId="1B258DA9" w14:textId="77777777" w:rsidTr="00E24930">
        <w:trPr>
          <w:trHeight w:val="739"/>
        </w:trPr>
        <w:tc>
          <w:tcPr>
            <w:tcW w:w="972" w:type="pct"/>
          </w:tcPr>
          <w:p w14:paraId="5DC2A602" w14:textId="5B513A81" w:rsidR="00D113D7" w:rsidRPr="004462A4" w:rsidRDefault="00D113D7" w:rsidP="00D113D7">
            <w:pPr>
              <w:pStyle w:val="ChartSubtitle"/>
              <w:rPr>
                <w:b/>
                <w:bCs/>
                <w:szCs w:val="20"/>
              </w:rPr>
            </w:pPr>
            <w:r w:rsidRPr="004462A4">
              <w:rPr>
                <w:b/>
                <w:bCs/>
                <w:szCs w:val="20"/>
              </w:rPr>
              <w:lastRenderedPageBreak/>
              <w:t>Scope and Objectives</w:t>
            </w:r>
          </w:p>
          <w:p w14:paraId="65C2D6C2" w14:textId="71E79EC3" w:rsidR="00D113D7" w:rsidRPr="004462A4" w:rsidRDefault="00D113D7" w:rsidP="00D113D7">
            <w:pPr>
              <w:pStyle w:val="ChartSubtitle"/>
              <w:rPr>
                <w:b/>
                <w:bCs/>
                <w:szCs w:val="20"/>
              </w:rPr>
            </w:pPr>
          </w:p>
        </w:tc>
        <w:tc>
          <w:tcPr>
            <w:tcW w:w="4028" w:type="pct"/>
          </w:tcPr>
          <w:p w14:paraId="283D8B79" w14:textId="62D400E9" w:rsidR="00DA6095" w:rsidRPr="00FF21CA" w:rsidRDefault="00DA6095" w:rsidP="002E1814">
            <w:pPr>
              <w:pStyle w:val="ChartSubtitle"/>
              <w:rPr>
                <w:rFonts w:cstheme="minorHAnsi"/>
                <w:color w:val="auto"/>
                <w:sz w:val="22"/>
                <w:u w:val="single"/>
              </w:rPr>
            </w:pPr>
            <w:r w:rsidRPr="00FF21CA">
              <w:rPr>
                <w:rFonts w:cstheme="minorHAnsi"/>
                <w:color w:val="auto"/>
                <w:sz w:val="22"/>
                <w:u w:val="single"/>
              </w:rPr>
              <w:t>Project Scope</w:t>
            </w:r>
          </w:p>
          <w:p w14:paraId="00AE878F" w14:textId="77777777" w:rsidR="00DA6095" w:rsidRDefault="00DA6095" w:rsidP="002E1814">
            <w:pPr>
              <w:pStyle w:val="ChartSubtitle"/>
              <w:rPr>
                <w:rFonts w:cstheme="minorHAnsi"/>
                <w:color w:val="auto"/>
                <w:sz w:val="22"/>
              </w:rPr>
            </w:pPr>
          </w:p>
          <w:p w14:paraId="68ABD034" w14:textId="417E1BAC" w:rsidR="00355A00" w:rsidRPr="00B771AD" w:rsidRDefault="00966350" w:rsidP="002E1814">
            <w:pPr>
              <w:pStyle w:val="ChartSubtitle"/>
              <w:rPr>
                <w:rFonts w:cstheme="minorHAnsi"/>
                <w:color w:val="auto"/>
                <w:sz w:val="22"/>
              </w:rPr>
            </w:pPr>
            <w:r w:rsidRPr="00B771AD">
              <w:rPr>
                <w:rFonts w:cstheme="minorHAnsi"/>
                <w:color w:val="auto"/>
                <w:sz w:val="22"/>
              </w:rPr>
              <w:t xml:space="preserve">Delivered in partnership with the YMCA, and </w:t>
            </w:r>
            <w:r w:rsidR="007070E1">
              <w:rPr>
                <w:rFonts w:cstheme="minorHAnsi"/>
                <w:color w:val="auto"/>
                <w:sz w:val="22"/>
              </w:rPr>
              <w:t>c</w:t>
            </w:r>
            <w:r w:rsidRPr="00B771AD">
              <w:rPr>
                <w:rFonts w:cstheme="minorHAnsi"/>
                <w:color w:val="auto"/>
                <w:sz w:val="22"/>
              </w:rPr>
              <w:t>o-funded by three</w:t>
            </w:r>
            <w:r w:rsidR="005F2925">
              <w:rPr>
                <w:rFonts w:cstheme="minorHAnsi"/>
                <w:color w:val="auto"/>
                <w:sz w:val="22"/>
              </w:rPr>
              <w:t xml:space="preserve"> of the</w:t>
            </w:r>
            <w:r w:rsidRPr="00B771AD">
              <w:rPr>
                <w:rFonts w:cstheme="minorHAnsi"/>
                <w:color w:val="auto"/>
                <w:sz w:val="22"/>
              </w:rPr>
              <w:t xml:space="preserve"> UK </w:t>
            </w:r>
            <w:r w:rsidR="007070E1">
              <w:rPr>
                <w:rFonts w:cstheme="minorHAnsi"/>
                <w:color w:val="auto"/>
                <w:sz w:val="22"/>
              </w:rPr>
              <w:t>GDNs</w:t>
            </w:r>
            <w:r w:rsidRPr="00B771AD">
              <w:rPr>
                <w:rFonts w:cstheme="minorHAnsi"/>
                <w:color w:val="auto"/>
                <w:sz w:val="22"/>
              </w:rPr>
              <w:t>, this project aims to support vulnerable households with a single point of contact for independent and bespoke support to keep a safe and warm home for less.</w:t>
            </w:r>
          </w:p>
          <w:p w14:paraId="2127A863" w14:textId="77777777" w:rsidR="00844B5B" w:rsidRDefault="00844B5B" w:rsidP="002E1814">
            <w:pPr>
              <w:pStyle w:val="ChartSubtitle"/>
              <w:rPr>
                <w:rFonts w:cstheme="minorHAnsi"/>
                <w:sz w:val="22"/>
              </w:rPr>
            </w:pPr>
          </w:p>
          <w:p w14:paraId="7B9987DE" w14:textId="6A79E851" w:rsidR="00844B5B" w:rsidRDefault="00844B5B" w:rsidP="00844B5B">
            <w:pPr>
              <w:autoSpaceDE w:val="0"/>
              <w:autoSpaceDN w:val="0"/>
              <w:adjustRightInd w:val="0"/>
              <w:spacing w:line="240" w:lineRule="auto"/>
              <w:rPr>
                <w:rFonts w:cstheme="minorHAnsi"/>
                <w:color w:val="000000"/>
                <w:sz w:val="22"/>
              </w:rPr>
            </w:pPr>
            <w:r w:rsidRPr="00C5747E">
              <w:rPr>
                <w:rFonts w:cstheme="minorHAnsi"/>
                <w:color w:val="000000"/>
                <w:sz w:val="22"/>
              </w:rPr>
              <w:t>Given the evidenced success of both partnership projects with Cadent and the continuing need for cost-of-living related support</w:t>
            </w:r>
            <w:r w:rsidR="00D152A1">
              <w:rPr>
                <w:rFonts w:cstheme="minorHAnsi"/>
                <w:color w:val="000000"/>
                <w:sz w:val="22"/>
              </w:rPr>
              <w:t>,</w:t>
            </w:r>
            <w:r w:rsidRPr="00C5747E">
              <w:rPr>
                <w:rFonts w:cstheme="minorHAnsi"/>
                <w:color w:val="000000"/>
                <w:sz w:val="22"/>
              </w:rPr>
              <w:t xml:space="preserve"> including</w:t>
            </w:r>
            <w:r>
              <w:rPr>
                <w:rFonts w:cstheme="minorHAnsi"/>
                <w:color w:val="000000"/>
                <w:sz w:val="22"/>
              </w:rPr>
              <w:t xml:space="preserve"> </w:t>
            </w:r>
            <w:r w:rsidRPr="00C5747E">
              <w:rPr>
                <w:rFonts w:cstheme="minorHAnsi"/>
                <w:color w:val="000000"/>
                <w:sz w:val="22"/>
              </w:rPr>
              <w:t>need beyond Cadent areas of operation</w:t>
            </w:r>
            <w:r w:rsidR="00B771AD">
              <w:rPr>
                <w:rFonts w:cstheme="minorHAnsi"/>
                <w:color w:val="000000"/>
                <w:sz w:val="22"/>
              </w:rPr>
              <w:t>,</w:t>
            </w:r>
            <w:r w:rsidRPr="00C5747E">
              <w:rPr>
                <w:rFonts w:cstheme="minorHAnsi"/>
                <w:color w:val="000000"/>
                <w:sz w:val="22"/>
              </w:rPr>
              <w:t xml:space="preserve"> </w:t>
            </w:r>
            <w:r w:rsidR="007070E1">
              <w:rPr>
                <w:rFonts w:cstheme="minorHAnsi"/>
                <w:color w:val="000000"/>
                <w:sz w:val="22"/>
              </w:rPr>
              <w:t xml:space="preserve">this initiative </w:t>
            </w:r>
            <w:r w:rsidRPr="00C5747E">
              <w:rPr>
                <w:rFonts w:cstheme="minorHAnsi"/>
                <w:color w:val="000000"/>
                <w:sz w:val="22"/>
              </w:rPr>
              <w:t>propose</w:t>
            </w:r>
            <w:r w:rsidR="007070E1">
              <w:rPr>
                <w:rFonts w:cstheme="minorHAnsi"/>
                <w:color w:val="000000"/>
                <w:sz w:val="22"/>
              </w:rPr>
              <w:t>s</w:t>
            </w:r>
            <w:r w:rsidRPr="00C5747E">
              <w:rPr>
                <w:rFonts w:cstheme="minorHAnsi"/>
                <w:color w:val="000000"/>
                <w:sz w:val="22"/>
              </w:rPr>
              <w:t xml:space="preserve"> to build on </w:t>
            </w:r>
            <w:r w:rsidR="007070E1">
              <w:rPr>
                <w:rFonts w:cstheme="minorHAnsi"/>
                <w:color w:val="000000"/>
                <w:sz w:val="22"/>
              </w:rPr>
              <w:t>the</w:t>
            </w:r>
            <w:r w:rsidRPr="00C5747E">
              <w:rPr>
                <w:rFonts w:cstheme="minorHAnsi"/>
                <w:color w:val="000000"/>
                <w:sz w:val="22"/>
              </w:rPr>
              <w:t xml:space="preserve"> existing ‘Cost of Living Project' to create more widely accessible support to vulnerable customers affected by the cost-of-living crisis</w:t>
            </w:r>
            <w:r w:rsidR="007070E1">
              <w:rPr>
                <w:rFonts w:cstheme="minorHAnsi"/>
                <w:color w:val="000000"/>
                <w:sz w:val="22"/>
              </w:rPr>
              <w:t xml:space="preserve">, </w:t>
            </w:r>
            <w:r w:rsidR="00D152A1">
              <w:rPr>
                <w:rFonts w:cstheme="minorHAnsi"/>
                <w:color w:val="000000"/>
                <w:sz w:val="22"/>
              </w:rPr>
              <w:t xml:space="preserve">and </w:t>
            </w:r>
            <w:r w:rsidR="007070E1">
              <w:rPr>
                <w:rFonts w:cstheme="minorHAnsi"/>
                <w:color w:val="000000"/>
                <w:sz w:val="22"/>
              </w:rPr>
              <w:t>to support communities in other parts of England as well as Scotland and Wales</w:t>
            </w:r>
            <w:r w:rsidRPr="00C5747E">
              <w:rPr>
                <w:rFonts w:cstheme="minorHAnsi"/>
                <w:color w:val="000000"/>
                <w:sz w:val="22"/>
              </w:rPr>
              <w:t>.</w:t>
            </w:r>
          </w:p>
          <w:p w14:paraId="4BFE4117" w14:textId="77777777" w:rsidR="00844B5B" w:rsidRPr="00C5747E" w:rsidRDefault="00844B5B" w:rsidP="00844B5B">
            <w:pPr>
              <w:autoSpaceDE w:val="0"/>
              <w:autoSpaceDN w:val="0"/>
              <w:adjustRightInd w:val="0"/>
              <w:spacing w:line="240" w:lineRule="auto"/>
              <w:rPr>
                <w:rFonts w:cstheme="minorHAnsi"/>
                <w:color w:val="000000"/>
                <w:sz w:val="22"/>
              </w:rPr>
            </w:pPr>
          </w:p>
          <w:p w14:paraId="511F48E6" w14:textId="5AA749BE" w:rsidR="007B243B" w:rsidRPr="007070E1" w:rsidRDefault="00844B5B" w:rsidP="003B24C0">
            <w:pPr>
              <w:numPr>
                <w:ilvl w:val="0"/>
                <w:numId w:val="40"/>
              </w:numPr>
              <w:autoSpaceDE w:val="0"/>
              <w:autoSpaceDN w:val="0"/>
              <w:adjustRightInd w:val="0"/>
              <w:spacing w:after="208" w:line="240" w:lineRule="auto"/>
              <w:rPr>
                <w:rFonts w:cstheme="minorHAnsi"/>
                <w:color w:val="000000"/>
                <w:sz w:val="22"/>
              </w:rPr>
            </w:pPr>
            <w:r w:rsidRPr="007070E1">
              <w:rPr>
                <w:rFonts w:cstheme="minorHAnsi"/>
                <w:color w:val="000000"/>
                <w:sz w:val="22"/>
              </w:rPr>
              <w:t>Scaling the project to areas covered by SGN and WWU as well as Cadent would see the existing cost-of-living project replicated, with 7</w:t>
            </w:r>
            <w:r w:rsidR="00F6555C" w:rsidRPr="007070E1">
              <w:rPr>
                <w:rFonts w:cstheme="minorHAnsi"/>
                <w:color w:val="000000"/>
                <w:sz w:val="22"/>
              </w:rPr>
              <w:t>8</w:t>
            </w:r>
            <w:r w:rsidRPr="007070E1">
              <w:rPr>
                <w:rFonts w:cstheme="minorHAnsi"/>
                <w:color w:val="000000"/>
                <w:sz w:val="22"/>
              </w:rPr>
              <w:t xml:space="preserve"> local YMCAs in these areas (most of which are multi-site) expressing interest in participating. The project takes a place-based approach, providing tailored services aligning with the six key themes of the project to meet the needs of local people.</w:t>
            </w:r>
          </w:p>
          <w:p w14:paraId="07482BBB" w14:textId="0E2A02D1" w:rsidR="00253873" w:rsidRDefault="00253873" w:rsidP="00253873">
            <w:pPr>
              <w:autoSpaceDE w:val="0"/>
              <w:autoSpaceDN w:val="0"/>
              <w:adjustRightInd w:val="0"/>
              <w:spacing w:line="240" w:lineRule="auto"/>
              <w:rPr>
                <w:rFonts w:cstheme="minorHAnsi"/>
                <w:color w:val="000000"/>
                <w:sz w:val="22"/>
              </w:rPr>
            </w:pPr>
            <w:r>
              <w:rPr>
                <w:rFonts w:cstheme="minorHAnsi"/>
                <w:color w:val="000000"/>
                <w:sz w:val="22"/>
              </w:rPr>
              <w:t>T</w:t>
            </w:r>
            <w:r w:rsidRPr="00253873">
              <w:rPr>
                <w:rFonts w:cstheme="minorHAnsi"/>
                <w:color w:val="000000"/>
                <w:sz w:val="22"/>
              </w:rPr>
              <w:t xml:space="preserve">he project’s delivery will be split into </w:t>
            </w:r>
            <w:r w:rsidR="00D152A1">
              <w:rPr>
                <w:rFonts w:cstheme="minorHAnsi"/>
                <w:color w:val="000000"/>
                <w:sz w:val="22"/>
              </w:rPr>
              <w:t xml:space="preserve">the below </w:t>
            </w:r>
            <w:r w:rsidR="0078587E">
              <w:rPr>
                <w:rFonts w:cstheme="minorHAnsi"/>
                <w:color w:val="000000"/>
                <w:sz w:val="22"/>
              </w:rPr>
              <w:t xml:space="preserve">six </w:t>
            </w:r>
            <w:r w:rsidR="00810675">
              <w:rPr>
                <w:rFonts w:cstheme="minorHAnsi"/>
                <w:color w:val="000000"/>
                <w:sz w:val="22"/>
              </w:rPr>
              <w:t>services</w:t>
            </w:r>
            <w:r w:rsidR="0078587E">
              <w:rPr>
                <w:rFonts w:cstheme="minorHAnsi"/>
                <w:color w:val="000000"/>
                <w:sz w:val="22"/>
              </w:rPr>
              <w:t xml:space="preserve"> and information distribution</w:t>
            </w:r>
            <w:r w:rsidR="00810675">
              <w:rPr>
                <w:rFonts w:cstheme="minorHAnsi"/>
                <w:color w:val="000000"/>
                <w:sz w:val="22"/>
              </w:rPr>
              <w:t>.</w:t>
            </w:r>
            <w:r w:rsidR="00D152A1">
              <w:rPr>
                <w:rFonts w:cstheme="minorHAnsi"/>
                <w:color w:val="000000"/>
                <w:sz w:val="22"/>
              </w:rPr>
              <w:t xml:space="preserve"> </w:t>
            </w:r>
            <w:r w:rsidR="00810675">
              <w:rPr>
                <w:rFonts w:cstheme="minorHAnsi"/>
                <w:color w:val="000000"/>
                <w:sz w:val="22"/>
              </w:rPr>
              <w:t>This will</w:t>
            </w:r>
            <w:r w:rsidRPr="00253873">
              <w:rPr>
                <w:rFonts w:cstheme="minorHAnsi"/>
                <w:color w:val="000000"/>
                <w:sz w:val="22"/>
              </w:rPr>
              <w:t xml:space="preserve"> ensur</w:t>
            </w:r>
            <w:r w:rsidR="00810675">
              <w:rPr>
                <w:rFonts w:cstheme="minorHAnsi"/>
                <w:color w:val="000000"/>
                <w:sz w:val="22"/>
              </w:rPr>
              <w:t>e</w:t>
            </w:r>
            <w:r w:rsidRPr="00253873">
              <w:rPr>
                <w:rFonts w:cstheme="minorHAnsi"/>
                <w:color w:val="000000"/>
                <w:sz w:val="22"/>
              </w:rPr>
              <w:t xml:space="preserve"> a range of audiences are reached through a hybrid of remote and </w:t>
            </w:r>
            <w:r w:rsidR="004F466D">
              <w:rPr>
                <w:rFonts w:cstheme="minorHAnsi"/>
                <w:color w:val="000000"/>
                <w:sz w:val="22"/>
              </w:rPr>
              <w:t>face-to-face</w:t>
            </w:r>
            <w:r w:rsidRPr="00253873">
              <w:rPr>
                <w:rFonts w:cstheme="minorHAnsi"/>
                <w:color w:val="000000"/>
                <w:sz w:val="22"/>
              </w:rPr>
              <w:t xml:space="preserve"> engagement</w:t>
            </w:r>
            <w:r w:rsidR="000F5367">
              <w:rPr>
                <w:rFonts w:cstheme="minorHAnsi"/>
                <w:color w:val="000000"/>
                <w:sz w:val="22"/>
              </w:rPr>
              <w:t>:</w:t>
            </w:r>
          </w:p>
          <w:p w14:paraId="4FBF15A2" w14:textId="77777777" w:rsidR="000F5367" w:rsidRDefault="000F5367" w:rsidP="000F5367">
            <w:pPr>
              <w:pStyle w:val="ChartSubtitle"/>
              <w:rPr>
                <w:rFonts w:cstheme="minorHAnsi"/>
                <w:szCs w:val="20"/>
              </w:rPr>
            </w:pPr>
          </w:p>
          <w:p w14:paraId="70ADC73C" w14:textId="77777777" w:rsidR="000F5367" w:rsidRPr="00E83C0E" w:rsidRDefault="000F5367" w:rsidP="000F5367">
            <w:pPr>
              <w:pStyle w:val="ChartSubtitle"/>
              <w:rPr>
                <w:rFonts w:cstheme="minorHAnsi"/>
                <w:color w:val="auto"/>
                <w:sz w:val="22"/>
              </w:rPr>
            </w:pPr>
            <w:r w:rsidRPr="00CF3D97">
              <w:rPr>
                <w:rFonts w:cstheme="minorHAnsi"/>
                <w:color w:val="auto"/>
                <w:sz w:val="22"/>
              </w:rPr>
              <w:t>•</w:t>
            </w:r>
            <w:r w:rsidRPr="00E83C0E">
              <w:rPr>
                <w:rFonts w:cstheme="minorHAnsi"/>
                <w:sz w:val="22"/>
              </w:rPr>
              <w:t xml:space="preserve"> </w:t>
            </w:r>
            <w:r w:rsidRPr="00E83C0E">
              <w:rPr>
                <w:rFonts w:cstheme="minorHAnsi"/>
                <w:color w:val="auto"/>
                <w:sz w:val="22"/>
              </w:rPr>
              <w:t xml:space="preserve">Benefits and welfare support </w:t>
            </w:r>
          </w:p>
          <w:p w14:paraId="55C12B67" w14:textId="21E93421" w:rsidR="000F5367" w:rsidRPr="00E83C0E" w:rsidRDefault="000F5367" w:rsidP="000F5367">
            <w:pPr>
              <w:pStyle w:val="ChartSubtitle"/>
              <w:rPr>
                <w:rFonts w:cstheme="minorHAnsi"/>
                <w:color w:val="auto"/>
                <w:sz w:val="22"/>
              </w:rPr>
            </w:pPr>
            <w:r w:rsidRPr="00E83C0E">
              <w:rPr>
                <w:rFonts w:cstheme="minorHAnsi"/>
                <w:color w:val="auto"/>
                <w:sz w:val="22"/>
              </w:rPr>
              <w:t>• Health and wellbeing</w:t>
            </w:r>
          </w:p>
          <w:p w14:paraId="6EAAE9C1" w14:textId="0A819575" w:rsidR="000F5367" w:rsidRPr="00E83C0E" w:rsidRDefault="000F5367" w:rsidP="000F5367">
            <w:pPr>
              <w:pStyle w:val="ChartSubtitle"/>
              <w:rPr>
                <w:rFonts w:cstheme="minorHAnsi"/>
                <w:color w:val="auto"/>
                <w:sz w:val="22"/>
              </w:rPr>
            </w:pPr>
            <w:r w:rsidRPr="00E83C0E">
              <w:rPr>
                <w:rFonts w:cstheme="minorHAnsi"/>
                <w:color w:val="auto"/>
                <w:sz w:val="22"/>
              </w:rPr>
              <w:t>• Employment and education/ training</w:t>
            </w:r>
          </w:p>
          <w:p w14:paraId="2DD67B10" w14:textId="284F5736" w:rsidR="000F5367" w:rsidRPr="00E83C0E" w:rsidRDefault="000F5367" w:rsidP="000F5367">
            <w:pPr>
              <w:pStyle w:val="ChartSubtitle"/>
              <w:rPr>
                <w:rFonts w:cstheme="minorHAnsi"/>
                <w:color w:val="auto"/>
                <w:sz w:val="22"/>
              </w:rPr>
            </w:pPr>
            <w:r w:rsidRPr="00E83C0E">
              <w:rPr>
                <w:rFonts w:cstheme="minorHAnsi"/>
                <w:color w:val="auto"/>
                <w:sz w:val="22"/>
              </w:rPr>
              <w:t>• Life skills</w:t>
            </w:r>
          </w:p>
          <w:p w14:paraId="183BE8A9" w14:textId="2EE1035E" w:rsidR="000F5367" w:rsidRPr="00E83C0E" w:rsidRDefault="000F5367" w:rsidP="000F5367">
            <w:pPr>
              <w:pStyle w:val="ChartSubtitle"/>
              <w:rPr>
                <w:rFonts w:cstheme="minorHAnsi"/>
                <w:color w:val="auto"/>
                <w:sz w:val="22"/>
              </w:rPr>
            </w:pPr>
            <w:r w:rsidRPr="00E83C0E">
              <w:rPr>
                <w:rFonts w:cstheme="minorHAnsi"/>
                <w:color w:val="auto"/>
                <w:sz w:val="22"/>
              </w:rPr>
              <w:t>• Money/ budgeting</w:t>
            </w:r>
          </w:p>
          <w:p w14:paraId="380706B1" w14:textId="77777777" w:rsidR="00355A00" w:rsidRDefault="000F5367" w:rsidP="000A4AE6">
            <w:pPr>
              <w:pStyle w:val="ChartSubtitle"/>
              <w:rPr>
                <w:rFonts w:cstheme="minorHAnsi"/>
                <w:color w:val="auto"/>
                <w:sz w:val="22"/>
              </w:rPr>
            </w:pPr>
            <w:r w:rsidRPr="00E83C0E">
              <w:rPr>
                <w:rFonts w:cstheme="minorHAnsi"/>
                <w:color w:val="auto"/>
                <w:sz w:val="22"/>
              </w:rPr>
              <w:t>• Cooking and healthy eating.</w:t>
            </w:r>
          </w:p>
          <w:p w14:paraId="74A0AEA1" w14:textId="77777777" w:rsidR="000A4AE6" w:rsidRDefault="000A4AE6" w:rsidP="000A4AE6">
            <w:pPr>
              <w:pStyle w:val="ChartSubtitle"/>
              <w:rPr>
                <w:rFonts w:cstheme="minorHAnsi"/>
                <w:szCs w:val="20"/>
              </w:rPr>
            </w:pPr>
          </w:p>
          <w:p w14:paraId="68A9FEA7" w14:textId="4BD651FD" w:rsidR="000A4AE6" w:rsidRPr="00323371" w:rsidRDefault="000A4AE6" w:rsidP="000A4AE6">
            <w:pPr>
              <w:pStyle w:val="ChartSubtitle"/>
              <w:rPr>
                <w:rFonts w:cstheme="minorHAnsi"/>
                <w:color w:val="auto"/>
                <w:sz w:val="22"/>
              </w:rPr>
            </w:pPr>
            <w:r w:rsidRPr="000A4AE6">
              <w:rPr>
                <w:rFonts w:cstheme="minorHAnsi"/>
                <w:color w:val="auto"/>
                <w:sz w:val="22"/>
              </w:rPr>
              <w:t>Training will enable</w:t>
            </w:r>
            <w:r w:rsidRPr="00323371">
              <w:rPr>
                <w:rFonts w:cstheme="minorHAnsi"/>
                <w:color w:val="auto"/>
                <w:sz w:val="22"/>
              </w:rPr>
              <w:t xml:space="preserve"> </w:t>
            </w:r>
            <w:r w:rsidRPr="000A4AE6">
              <w:rPr>
                <w:rFonts w:cstheme="minorHAnsi"/>
                <w:color w:val="auto"/>
                <w:sz w:val="22"/>
              </w:rPr>
              <w:t>staff to have meaningful</w:t>
            </w:r>
            <w:r w:rsidRPr="00323371">
              <w:rPr>
                <w:rFonts w:cstheme="minorHAnsi"/>
                <w:color w:val="auto"/>
                <w:sz w:val="22"/>
              </w:rPr>
              <w:t xml:space="preserve"> </w:t>
            </w:r>
            <w:r w:rsidRPr="000A4AE6">
              <w:rPr>
                <w:rFonts w:cstheme="minorHAnsi"/>
                <w:color w:val="auto"/>
                <w:sz w:val="22"/>
              </w:rPr>
              <w:t xml:space="preserve">conversations with vulnerable </w:t>
            </w:r>
            <w:r w:rsidRPr="00323371">
              <w:rPr>
                <w:rFonts w:cstheme="minorHAnsi"/>
                <w:color w:val="auto"/>
                <w:sz w:val="22"/>
              </w:rPr>
              <w:t>customers engaged</w:t>
            </w:r>
            <w:r w:rsidRPr="000A4AE6">
              <w:rPr>
                <w:rFonts w:cstheme="minorHAnsi"/>
                <w:color w:val="auto"/>
                <w:sz w:val="22"/>
              </w:rPr>
              <w:t xml:space="preserve"> with</w:t>
            </w:r>
            <w:r w:rsidRPr="00323371">
              <w:rPr>
                <w:rFonts w:cstheme="minorHAnsi"/>
                <w:color w:val="auto"/>
                <w:sz w:val="22"/>
              </w:rPr>
              <w:t xml:space="preserve"> </w:t>
            </w:r>
            <w:r w:rsidRPr="000A4AE6">
              <w:rPr>
                <w:rFonts w:cstheme="minorHAnsi"/>
                <w:color w:val="auto"/>
                <w:sz w:val="22"/>
              </w:rPr>
              <w:t>services within the</w:t>
            </w:r>
            <w:r w:rsidRPr="00323371">
              <w:rPr>
                <w:rFonts w:cstheme="minorHAnsi"/>
                <w:color w:val="auto"/>
                <w:sz w:val="22"/>
              </w:rPr>
              <w:t xml:space="preserve"> </w:t>
            </w:r>
            <w:r w:rsidRPr="000A4AE6">
              <w:rPr>
                <w:rFonts w:cstheme="minorHAnsi"/>
                <w:color w:val="auto"/>
                <w:sz w:val="22"/>
              </w:rPr>
              <w:t>six</w:t>
            </w:r>
            <w:r w:rsidRPr="00323371">
              <w:rPr>
                <w:rFonts w:cstheme="minorHAnsi"/>
                <w:color w:val="auto"/>
                <w:sz w:val="22"/>
              </w:rPr>
              <w:t xml:space="preserve"> </w:t>
            </w:r>
            <w:r w:rsidRPr="000A4AE6">
              <w:rPr>
                <w:rFonts w:cstheme="minorHAnsi"/>
                <w:color w:val="auto"/>
                <w:sz w:val="22"/>
              </w:rPr>
              <w:t>key project themes to complement</w:t>
            </w:r>
            <w:r w:rsidRPr="00323371">
              <w:rPr>
                <w:rFonts w:cstheme="minorHAnsi"/>
                <w:color w:val="auto"/>
                <w:sz w:val="22"/>
              </w:rPr>
              <w:t xml:space="preserve"> </w:t>
            </w:r>
            <w:r w:rsidRPr="000A4AE6">
              <w:rPr>
                <w:rFonts w:cstheme="minorHAnsi"/>
                <w:color w:val="auto"/>
                <w:sz w:val="22"/>
              </w:rPr>
              <w:t>and</w:t>
            </w:r>
            <w:r w:rsidRPr="00323371">
              <w:rPr>
                <w:rFonts w:cstheme="minorHAnsi"/>
                <w:color w:val="auto"/>
                <w:sz w:val="22"/>
              </w:rPr>
              <w:t xml:space="preserve"> </w:t>
            </w:r>
            <w:r w:rsidRPr="000A4AE6">
              <w:rPr>
                <w:rFonts w:cstheme="minorHAnsi"/>
                <w:color w:val="auto"/>
                <w:sz w:val="22"/>
              </w:rPr>
              <w:t>embed learning from the</w:t>
            </w:r>
            <w:r w:rsidRPr="00323371">
              <w:rPr>
                <w:rFonts w:cstheme="minorHAnsi"/>
                <w:color w:val="auto"/>
                <w:sz w:val="22"/>
              </w:rPr>
              <w:t xml:space="preserve"> </w:t>
            </w:r>
            <w:r w:rsidRPr="000A4AE6">
              <w:rPr>
                <w:rFonts w:cstheme="minorHAnsi"/>
                <w:color w:val="auto"/>
                <w:sz w:val="22"/>
              </w:rPr>
              <w:t>safeguarding information distributed.</w:t>
            </w:r>
          </w:p>
          <w:p w14:paraId="0DC43650" w14:textId="77777777" w:rsidR="00FC7E2F" w:rsidRPr="00323371" w:rsidRDefault="00FC7E2F" w:rsidP="000A4AE6">
            <w:pPr>
              <w:pStyle w:val="ChartSubtitle"/>
              <w:rPr>
                <w:rFonts w:cstheme="minorHAnsi"/>
                <w:color w:val="auto"/>
                <w:sz w:val="22"/>
              </w:rPr>
            </w:pPr>
          </w:p>
          <w:p w14:paraId="11C6FA13" w14:textId="359B1E37" w:rsidR="00FC7E2F" w:rsidRPr="000A4AE6" w:rsidRDefault="00FE4D83" w:rsidP="000A4AE6">
            <w:pPr>
              <w:pStyle w:val="ChartSubtitle"/>
              <w:rPr>
                <w:rFonts w:cstheme="minorHAnsi"/>
                <w:color w:val="auto"/>
                <w:sz w:val="22"/>
              </w:rPr>
            </w:pPr>
            <w:r>
              <w:rPr>
                <w:rFonts w:cstheme="minorHAnsi"/>
                <w:color w:val="auto"/>
                <w:sz w:val="22"/>
              </w:rPr>
              <w:t>This</w:t>
            </w:r>
            <w:r w:rsidR="00FC7E2F" w:rsidRPr="00323371">
              <w:rPr>
                <w:rFonts w:cstheme="minorHAnsi"/>
                <w:color w:val="auto"/>
                <w:sz w:val="22"/>
              </w:rPr>
              <w:t xml:space="preserve"> </w:t>
            </w:r>
            <w:r>
              <w:rPr>
                <w:rFonts w:cstheme="minorHAnsi"/>
                <w:color w:val="auto"/>
                <w:sz w:val="22"/>
              </w:rPr>
              <w:t xml:space="preserve">is a </w:t>
            </w:r>
            <w:r w:rsidR="00FC7E2F" w:rsidRPr="00323371">
              <w:rPr>
                <w:rFonts w:cstheme="minorHAnsi"/>
                <w:color w:val="auto"/>
                <w:sz w:val="22"/>
              </w:rPr>
              <w:t>1</w:t>
            </w:r>
            <w:r w:rsidR="00EB1B51">
              <w:rPr>
                <w:rFonts w:cstheme="minorHAnsi"/>
                <w:color w:val="auto"/>
                <w:sz w:val="22"/>
              </w:rPr>
              <w:t>4</w:t>
            </w:r>
            <w:r w:rsidR="00FC7E2F" w:rsidRPr="00323371">
              <w:rPr>
                <w:rFonts w:cstheme="minorHAnsi"/>
                <w:color w:val="auto"/>
                <w:sz w:val="22"/>
              </w:rPr>
              <w:t xml:space="preserve">-month </w:t>
            </w:r>
            <w:r w:rsidR="00616204">
              <w:rPr>
                <w:rFonts w:cstheme="minorHAnsi"/>
                <w:color w:val="auto"/>
                <w:sz w:val="22"/>
              </w:rPr>
              <w:t xml:space="preserve">collaborative </w:t>
            </w:r>
            <w:r w:rsidR="00FC7E2F" w:rsidRPr="00323371">
              <w:rPr>
                <w:rFonts w:cstheme="minorHAnsi"/>
                <w:color w:val="auto"/>
                <w:sz w:val="22"/>
              </w:rPr>
              <w:t xml:space="preserve">project </w:t>
            </w:r>
            <w:r w:rsidR="00D152A1">
              <w:rPr>
                <w:rFonts w:cstheme="minorHAnsi"/>
                <w:color w:val="auto"/>
                <w:sz w:val="22"/>
              </w:rPr>
              <w:t>between Cadent,</w:t>
            </w:r>
            <w:r w:rsidR="00D152A1" w:rsidRPr="00323371">
              <w:rPr>
                <w:rFonts w:cstheme="minorHAnsi"/>
                <w:color w:val="auto"/>
                <w:sz w:val="22"/>
              </w:rPr>
              <w:t xml:space="preserve"> </w:t>
            </w:r>
            <w:r w:rsidR="00FC7E2F" w:rsidRPr="00323371">
              <w:rPr>
                <w:rFonts w:cstheme="minorHAnsi"/>
                <w:color w:val="auto"/>
                <w:sz w:val="22"/>
              </w:rPr>
              <w:t>SGN and W</w:t>
            </w:r>
            <w:r>
              <w:rPr>
                <w:rFonts w:cstheme="minorHAnsi"/>
                <w:color w:val="auto"/>
                <w:sz w:val="22"/>
              </w:rPr>
              <w:t>WU</w:t>
            </w:r>
            <w:r w:rsidR="00FC7E2F" w:rsidRPr="00323371">
              <w:rPr>
                <w:rFonts w:cstheme="minorHAnsi"/>
                <w:color w:val="auto"/>
                <w:sz w:val="22"/>
              </w:rPr>
              <w:t xml:space="preserve">, commencing January 2025 with </w:t>
            </w:r>
            <w:r w:rsidR="003B24C0">
              <w:rPr>
                <w:rFonts w:cstheme="minorHAnsi"/>
                <w:color w:val="auto"/>
                <w:sz w:val="22"/>
              </w:rPr>
              <w:t>a two</w:t>
            </w:r>
            <w:r w:rsidR="00FC7E2F" w:rsidRPr="00323371">
              <w:rPr>
                <w:rFonts w:cstheme="minorHAnsi"/>
                <w:color w:val="auto"/>
                <w:sz w:val="22"/>
              </w:rPr>
              <w:t>-month implementation period</w:t>
            </w:r>
            <w:r>
              <w:rPr>
                <w:rFonts w:cstheme="minorHAnsi"/>
                <w:color w:val="auto"/>
                <w:sz w:val="22"/>
              </w:rPr>
              <w:t>,</w:t>
            </w:r>
            <w:r w:rsidR="00FC7E2F" w:rsidRPr="00323371">
              <w:rPr>
                <w:rFonts w:cstheme="minorHAnsi"/>
                <w:color w:val="auto"/>
                <w:sz w:val="22"/>
              </w:rPr>
              <w:t xml:space="preserve"> running until the end of </w:t>
            </w:r>
            <w:r w:rsidR="003B24C0">
              <w:rPr>
                <w:rFonts w:cstheme="minorHAnsi"/>
                <w:color w:val="auto"/>
                <w:sz w:val="22"/>
              </w:rPr>
              <w:t>February</w:t>
            </w:r>
            <w:r w:rsidR="00FC7E2F" w:rsidRPr="00323371">
              <w:rPr>
                <w:rFonts w:cstheme="minorHAnsi"/>
                <w:color w:val="auto"/>
                <w:sz w:val="22"/>
              </w:rPr>
              <w:t xml:space="preserve"> 2026</w:t>
            </w:r>
            <w:r w:rsidR="00616204">
              <w:rPr>
                <w:rFonts w:cstheme="minorHAnsi"/>
                <w:color w:val="auto"/>
                <w:sz w:val="22"/>
              </w:rPr>
              <w:t>.</w:t>
            </w:r>
          </w:p>
          <w:p w14:paraId="7EB5AFC8" w14:textId="16C61F5E" w:rsidR="000A4AE6" w:rsidRPr="00687E02" w:rsidRDefault="000A4AE6" w:rsidP="000A4AE6">
            <w:pPr>
              <w:pStyle w:val="ChartSubtitle"/>
              <w:rPr>
                <w:rFonts w:cstheme="minorHAnsi"/>
                <w:szCs w:val="20"/>
              </w:rPr>
            </w:pPr>
          </w:p>
        </w:tc>
      </w:tr>
      <w:tr w:rsidR="001A0F9B" w:rsidRPr="004462A4" w14:paraId="06EEC5A8" w14:textId="77777777" w:rsidTr="00E24930">
        <w:trPr>
          <w:trHeight w:val="228"/>
        </w:trPr>
        <w:tc>
          <w:tcPr>
            <w:tcW w:w="972" w:type="pct"/>
          </w:tcPr>
          <w:p w14:paraId="12D80358" w14:textId="62E55F7D" w:rsidR="00D113D7" w:rsidRPr="004462A4" w:rsidRDefault="00D113D7" w:rsidP="00D113D7">
            <w:pPr>
              <w:pStyle w:val="ChartSubtitle"/>
              <w:rPr>
                <w:b/>
                <w:bCs/>
                <w:szCs w:val="20"/>
              </w:rPr>
            </w:pPr>
            <w:r w:rsidRPr="004462A4">
              <w:rPr>
                <w:b/>
                <w:bCs/>
                <w:szCs w:val="20"/>
              </w:rPr>
              <w:t>Why the Project is Being Funded Through the VCMA</w:t>
            </w:r>
          </w:p>
          <w:p w14:paraId="0AB84592" w14:textId="0F678EA5" w:rsidR="00D113D7" w:rsidRPr="004462A4" w:rsidRDefault="00D113D7" w:rsidP="00D113D7">
            <w:pPr>
              <w:pStyle w:val="ChartSubtitle"/>
              <w:rPr>
                <w:b/>
                <w:bCs/>
                <w:szCs w:val="20"/>
              </w:rPr>
            </w:pPr>
          </w:p>
        </w:tc>
        <w:tc>
          <w:tcPr>
            <w:tcW w:w="4028" w:type="pct"/>
          </w:tcPr>
          <w:p w14:paraId="4BAFAF89" w14:textId="04BD0D2D" w:rsidR="003679AC" w:rsidRPr="00D152A1" w:rsidRDefault="00355A00" w:rsidP="002E1814">
            <w:pPr>
              <w:autoSpaceDE w:val="0"/>
              <w:autoSpaceDN w:val="0"/>
              <w:adjustRightInd w:val="0"/>
              <w:spacing w:before="2" w:after="2" w:line="240" w:lineRule="auto"/>
              <w:rPr>
                <w:rFonts w:cstheme="minorHAnsi"/>
                <w:color w:val="auto"/>
                <w:sz w:val="22"/>
              </w:rPr>
            </w:pPr>
            <w:r w:rsidRPr="00D152A1">
              <w:rPr>
                <w:rFonts w:cstheme="minorHAnsi"/>
                <w:color w:val="auto"/>
                <w:sz w:val="22"/>
              </w:rPr>
              <w:t>The GDNs</w:t>
            </w:r>
            <w:r w:rsidR="00622D67" w:rsidRPr="00D152A1">
              <w:rPr>
                <w:rFonts w:cstheme="minorHAnsi"/>
                <w:color w:val="auto"/>
                <w:sz w:val="22"/>
              </w:rPr>
              <w:t xml:space="preserve"> believe that this project meets all of the VCMA </w:t>
            </w:r>
            <w:r w:rsidR="009F4561" w:rsidRPr="00D152A1">
              <w:rPr>
                <w:rFonts w:cstheme="minorHAnsi"/>
                <w:color w:val="auto"/>
                <w:sz w:val="22"/>
              </w:rPr>
              <w:t>company-specific</w:t>
            </w:r>
            <w:r w:rsidRPr="00D152A1">
              <w:rPr>
                <w:rFonts w:cstheme="minorHAnsi"/>
                <w:color w:val="auto"/>
                <w:sz w:val="22"/>
              </w:rPr>
              <w:t xml:space="preserve"> and</w:t>
            </w:r>
            <w:r w:rsidR="00622D67" w:rsidRPr="00D152A1">
              <w:rPr>
                <w:rFonts w:cstheme="minorHAnsi"/>
                <w:color w:val="auto"/>
                <w:sz w:val="22"/>
              </w:rPr>
              <w:t xml:space="preserve"> collaborative</w:t>
            </w:r>
            <w:r w:rsidRPr="00D152A1">
              <w:rPr>
                <w:rFonts w:cstheme="minorHAnsi"/>
                <w:color w:val="auto"/>
                <w:sz w:val="22"/>
              </w:rPr>
              <w:t xml:space="preserve"> eligibility</w:t>
            </w:r>
            <w:r w:rsidR="00622D67" w:rsidRPr="00D152A1">
              <w:rPr>
                <w:rFonts w:cstheme="minorHAnsi"/>
                <w:color w:val="auto"/>
                <w:sz w:val="22"/>
              </w:rPr>
              <w:t xml:space="preserve"> criteria. </w:t>
            </w:r>
          </w:p>
          <w:p w14:paraId="1DE789AC" w14:textId="77777777" w:rsidR="00622D67" w:rsidRPr="00D152A1" w:rsidRDefault="00622D67" w:rsidP="002E1814">
            <w:pPr>
              <w:autoSpaceDE w:val="0"/>
              <w:autoSpaceDN w:val="0"/>
              <w:adjustRightInd w:val="0"/>
              <w:spacing w:before="2" w:after="2" w:line="240" w:lineRule="auto"/>
              <w:rPr>
                <w:rFonts w:cstheme="minorHAnsi"/>
                <w:color w:val="auto"/>
                <w:sz w:val="22"/>
              </w:rPr>
            </w:pPr>
          </w:p>
          <w:p w14:paraId="52B79684" w14:textId="4E5A9B06" w:rsidR="00622D67" w:rsidRPr="00D152A1" w:rsidRDefault="00622D67" w:rsidP="002E1814">
            <w:pPr>
              <w:autoSpaceDE w:val="0"/>
              <w:autoSpaceDN w:val="0"/>
              <w:adjustRightInd w:val="0"/>
              <w:spacing w:before="2" w:after="2" w:line="240" w:lineRule="auto"/>
              <w:rPr>
                <w:rFonts w:cstheme="minorHAnsi"/>
                <w:color w:val="auto"/>
                <w:sz w:val="22"/>
                <w:u w:val="single"/>
              </w:rPr>
            </w:pPr>
            <w:r w:rsidRPr="00D152A1">
              <w:rPr>
                <w:rFonts w:cstheme="minorHAnsi"/>
                <w:color w:val="auto"/>
                <w:sz w:val="22"/>
                <w:u w:val="single"/>
              </w:rPr>
              <w:t>Company specific VCMA eligibility criteria</w:t>
            </w:r>
          </w:p>
          <w:p w14:paraId="04FA07FB" w14:textId="0710D0A6" w:rsidR="00622D67" w:rsidRPr="00D152A1" w:rsidRDefault="00622D67" w:rsidP="002E1814">
            <w:pPr>
              <w:autoSpaceDE w:val="0"/>
              <w:autoSpaceDN w:val="0"/>
              <w:adjustRightInd w:val="0"/>
              <w:spacing w:before="2" w:after="2" w:line="240" w:lineRule="auto"/>
              <w:rPr>
                <w:rFonts w:cstheme="minorHAnsi"/>
                <w:color w:val="auto"/>
                <w:sz w:val="22"/>
              </w:rPr>
            </w:pPr>
          </w:p>
          <w:p w14:paraId="6CF3CF8A" w14:textId="094B04E5" w:rsidR="00123027" w:rsidRPr="00D152A1" w:rsidRDefault="00176E9E" w:rsidP="00176E9E">
            <w:pPr>
              <w:pStyle w:val="ListParagraph"/>
              <w:numPr>
                <w:ilvl w:val="0"/>
                <w:numId w:val="12"/>
              </w:numPr>
              <w:rPr>
                <w:rFonts w:cstheme="minorHAnsi"/>
                <w:color w:val="auto"/>
                <w:sz w:val="22"/>
              </w:rPr>
            </w:pPr>
            <w:r w:rsidRPr="00D152A1">
              <w:rPr>
                <w:rFonts w:cstheme="minorHAnsi"/>
                <w:b/>
                <w:bCs/>
                <w:color w:val="auto"/>
                <w:sz w:val="22"/>
              </w:rPr>
              <w:lastRenderedPageBreak/>
              <w:t>Have a positive, or a forecasted positive, Social Return on Investment (SROI) including for the gas consumers funding the VCMA Project:</w:t>
            </w:r>
          </w:p>
          <w:p w14:paraId="26F13E53" w14:textId="77777777" w:rsidR="00B13089" w:rsidRPr="00D152A1" w:rsidRDefault="00B13089" w:rsidP="00B13089">
            <w:pPr>
              <w:pStyle w:val="ListParagraph"/>
              <w:rPr>
                <w:rFonts w:cstheme="minorHAnsi"/>
                <w:color w:val="auto"/>
                <w:sz w:val="22"/>
              </w:rPr>
            </w:pPr>
          </w:p>
          <w:p w14:paraId="5B4E36C8" w14:textId="1E076D35" w:rsidR="00622D67" w:rsidRPr="00D152A1" w:rsidRDefault="00176E9E" w:rsidP="00123027">
            <w:pPr>
              <w:pStyle w:val="ListParagraph"/>
              <w:rPr>
                <w:rFonts w:cstheme="minorHAnsi"/>
                <w:i/>
                <w:iCs/>
                <w:color w:val="auto"/>
                <w:sz w:val="22"/>
              </w:rPr>
            </w:pPr>
            <w:r w:rsidRPr="00D152A1">
              <w:rPr>
                <w:rFonts w:cstheme="minorHAnsi"/>
                <w:i/>
                <w:iCs/>
                <w:color w:val="auto"/>
                <w:sz w:val="22"/>
              </w:rPr>
              <w:t xml:space="preserve">The project delivers a positive forecasted social return on investment. This is based on achieving the target reach for income maximisation, registrations to the PSR, tackling loneliness and isolation and education on carbon monoxide. More information can be found in the relevant section below. </w:t>
            </w:r>
          </w:p>
          <w:p w14:paraId="7C1D1863" w14:textId="77777777" w:rsidR="00176E9E" w:rsidRPr="00D152A1" w:rsidRDefault="00176E9E" w:rsidP="00123027">
            <w:pPr>
              <w:ind w:left="360"/>
              <w:rPr>
                <w:rFonts w:cstheme="minorHAnsi"/>
                <w:color w:val="auto"/>
                <w:sz w:val="22"/>
              </w:rPr>
            </w:pPr>
          </w:p>
          <w:p w14:paraId="2B212714" w14:textId="0815D5A2" w:rsidR="00622D67" w:rsidRPr="00D152A1" w:rsidRDefault="00622D67" w:rsidP="001C75AE">
            <w:pPr>
              <w:pStyle w:val="ListParagraph"/>
              <w:numPr>
                <w:ilvl w:val="0"/>
                <w:numId w:val="12"/>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 xml:space="preserve">The project will either: </w:t>
            </w:r>
          </w:p>
          <w:p w14:paraId="48B1648B" w14:textId="64F58685" w:rsidR="00622D67" w:rsidRPr="00D152A1" w:rsidRDefault="00622D67" w:rsidP="00622D67">
            <w:pPr>
              <w:autoSpaceDE w:val="0"/>
              <w:autoSpaceDN w:val="0"/>
              <w:adjustRightInd w:val="0"/>
              <w:spacing w:before="2" w:after="2" w:line="240" w:lineRule="auto"/>
              <w:rPr>
                <w:rFonts w:cstheme="minorHAnsi"/>
                <w:color w:val="auto"/>
                <w:sz w:val="22"/>
              </w:rPr>
            </w:pPr>
          </w:p>
          <w:p w14:paraId="3A368CB6" w14:textId="064580A9" w:rsidR="00622D67" w:rsidRPr="00D152A1" w:rsidRDefault="00622D67" w:rsidP="001C75AE">
            <w:pPr>
              <w:pStyle w:val="ListParagraph"/>
              <w:numPr>
                <w:ilvl w:val="0"/>
                <w:numId w:val="13"/>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Provide support to consumers in vulnerable situations, and relate to energy safeguarding, or</w:t>
            </w:r>
          </w:p>
          <w:p w14:paraId="336576B0" w14:textId="4CED983E" w:rsidR="00622D67" w:rsidRPr="00D152A1" w:rsidRDefault="00622D67" w:rsidP="001C75AE">
            <w:pPr>
              <w:pStyle w:val="ListParagraph"/>
              <w:numPr>
                <w:ilvl w:val="0"/>
                <w:numId w:val="13"/>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Provide awareness on the dangers of CO, or</w:t>
            </w:r>
          </w:p>
          <w:p w14:paraId="5E05D34A" w14:textId="1E7EC773" w:rsidR="00622D67" w:rsidRPr="00D152A1" w:rsidRDefault="00622D67" w:rsidP="001C75AE">
            <w:pPr>
              <w:pStyle w:val="ListParagraph"/>
              <w:numPr>
                <w:ilvl w:val="0"/>
                <w:numId w:val="13"/>
              </w:numPr>
              <w:rPr>
                <w:rFonts w:cstheme="minorHAnsi"/>
                <w:b/>
                <w:bCs/>
                <w:color w:val="auto"/>
                <w:sz w:val="22"/>
              </w:rPr>
            </w:pPr>
            <w:r w:rsidRPr="00D152A1">
              <w:rPr>
                <w:rFonts w:cstheme="minorHAnsi"/>
                <w:b/>
                <w:bCs/>
                <w:color w:val="auto"/>
                <w:sz w:val="22"/>
              </w:rPr>
              <w:t>Reduce the risk of harm caused by CO</w:t>
            </w:r>
          </w:p>
          <w:p w14:paraId="51F67371" w14:textId="79CF4F81" w:rsidR="00622D67" w:rsidRPr="00D152A1" w:rsidRDefault="00622D67" w:rsidP="00622D67">
            <w:pPr>
              <w:autoSpaceDE w:val="0"/>
              <w:autoSpaceDN w:val="0"/>
              <w:adjustRightInd w:val="0"/>
              <w:spacing w:before="2" w:after="2" w:line="240" w:lineRule="auto"/>
              <w:rPr>
                <w:rFonts w:cstheme="minorHAnsi"/>
                <w:color w:val="auto"/>
                <w:sz w:val="22"/>
              </w:rPr>
            </w:pPr>
          </w:p>
          <w:p w14:paraId="07B8286E" w14:textId="64353EA2" w:rsidR="00B13089" w:rsidRPr="00D152A1" w:rsidRDefault="00B13089" w:rsidP="00CF3D97">
            <w:pPr>
              <w:autoSpaceDE w:val="0"/>
              <w:autoSpaceDN w:val="0"/>
              <w:adjustRightInd w:val="0"/>
              <w:spacing w:before="2" w:after="2" w:line="240" w:lineRule="auto"/>
              <w:ind w:left="795"/>
              <w:rPr>
                <w:rFonts w:cstheme="minorHAnsi"/>
                <w:i/>
                <w:iCs/>
                <w:color w:val="auto"/>
                <w:sz w:val="22"/>
              </w:rPr>
            </w:pPr>
            <w:r w:rsidRPr="00D152A1">
              <w:rPr>
                <w:rFonts w:cstheme="minorHAnsi"/>
                <w:i/>
                <w:iCs/>
                <w:color w:val="auto"/>
                <w:sz w:val="22"/>
              </w:rPr>
              <w:t>The project delivers services that meet all three elements of this criteria. For example, the project will raise awareness of the dangers of CO and promote registration to the PSR. The project will also promote energy-saving tips and how to cook more efficiently</w:t>
            </w:r>
            <w:r w:rsidR="0049678F" w:rsidRPr="00D152A1">
              <w:rPr>
                <w:rFonts w:cstheme="minorHAnsi"/>
                <w:i/>
                <w:iCs/>
                <w:color w:val="auto"/>
                <w:sz w:val="22"/>
              </w:rPr>
              <w:t xml:space="preserve"> on a budget.</w:t>
            </w:r>
          </w:p>
          <w:p w14:paraId="67813B41" w14:textId="77777777" w:rsidR="00B13089" w:rsidRPr="00D152A1" w:rsidRDefault="00B13089" w:rsidP="00622D67">
            <w:pPr>
              <w:autoSpaceDE w:val="0"/>
              <w:autoSpaceDN w:val="0"/>
              <w:adjustRightInd w:val="0"/>
              <w:spacing w:before="2" w:after="2" w:line="240" w:lineRule="auto"/>
              <w:rPr>
                <w:rFonts w:cstheme="minorHAnsi"/>
                <w:i/>
                <w:iCs/>
                <w:color w:val="auto"/>
                <w:sz w:val="22"/>
              </w:rPr>
            </w:pPr>
          </w:p>
          <w:p w14:paraId="2129EE11" w14:textId="50DB1E65" w:rsidR="00622D67" w:rsidRPr="00D152A1" w:rsidRDefault="00622D67" w:rsidP="001C75AE">
            <w:pPr>
              <w:pStyle w:val="ListParagraph"/>
              <w:numPr>
                <w:ilvl w:val="0"/>
                <w:numId w:val="12"/>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Have defined outcomes and the associated actions to achieve these:</w:t>
            </w:r>
          </w:p>
          <w:p w14:paraId="3684D6C7" w14:textId="77777777" w:rsidR="006C0386" w:rsidRPr="00D152A1" w:rsidRDefault="006C0386" w:rsidP="006C0386">
            <w:pPr>
              <w:pStyle w:val="ListParagraph"/>
              <w:autoSpaceDE w:val="0"/>
              <w:autoSpaceDN w:val="0"/>
              <w:adjustRightInd w:val="0"/>
              <w:spacing w:before="2" w:after="2" w:line="240" w:lineRule="auto"/>
              <w:rPr>
                <w:rFonts w:cstheme="minorHAnsi"/>
                <w:b/>
                <w:bCs/>
                <w:color w:val="auto"/>
                <w:sz w:val="22"/>
              </w:rPr>
            </w:pPr>
          </w:p>
          <w:p w14:paraId="1A82C512" w14:textId="05E1B086" w:rsidR="00622D67" w:rsidRPr="00D152A1" w:rsidRDefault="006C0386" w:rsidP="00622D67">
            <w:pPr>
              <w:pStyle w:val="ListParagraph"/>
              <w:autoSpaceDE w:val="0"/>
              <w:autoSpaceDN w:val="0"/>
              <w:adjustRightInd w:val="0"/>
              <w:spacing w:before="2" w:after="2" w:line="240" w:lineRule="auto"/>
              <w:rPr>
                <w:rFonts w:cstheme="minorHAnsi"/>
                <w:i/>
                <w:iCs/>
                <w:color w:val="auto"/>
                <w:sz w:val="22"/>
              </w:rPr>
            </w:pPr>
            <w:r w:rsidRPr="00D152A1">
              <w:rPr>
                <w:rFonts w:cstheme="minorHAnsi"/>
                <w:i/>
                <w:iCs/>
                <w:color w:val="auto"/>
                <w:sz w:val="22"/>
              </w:rPr>
              <w:t>Cadent</w:t>
            </w:r>
            <w:r w:rsidR="00E8743A" w:rsidRPr="00D152A1">
              <w:rPr>
                <w:rFonts w:cstheme="minorHAnsi"/>
                <w:i/>
                <w:iCs/>
                <w:color w:val="auto"/>
                <w:sz w:val="22"/>
              </w:rPr>
              <w:t>, SGN, WWU</w:t>
            </w:r>
            <w:r w:rsidR="0089774B" w:rsidRPr="00D152A1">
              <w:rPr>
                <w:rFonts w:cstheme="minorHAnsi"/>
                <w:i/>
                <w:iCs/>
                <w:color w:val="auto"/>
                <w:sz w:val="22"/>
              </w:rPr>
              <w:t>,</w:t>
            </w:r>
            <w:r w:rsidRPr="00D152A1">
              <w:rPr>
                <w:rFonts w:cstheme="minorHAnsi"/>
                <w:i/>
                <w:iCs/>
                <w:color w:val="auto"/>
                <w:sz w:val="22"/>
              </w:rPr>
              <w:t xml:space="preserve"> and</w:t>
            </w:r>
            <w:r w:rsidR="0089774B" w:rsidRPr="00D152A1">
              <w:rPr>
                <w:rFonts w:cstheme="minorHAnsi"/>
                <w:i/>
                <w:iCs/>
                <w:color w:val="auto"/>
                <w:sz w:val="22"/>
              </w:rPr>
              <w:t xml:space="preserve"> the</w:t>
            </w:r>
            <w:r w:rsidRPr="00D152A1">
              <w:rPr>
                <w:rFonts w:cstheme="minorHAnsi"/>
                <w:i/>
                <w:iCs/>
                <w:color w:val="auto"/>
                <w:sz w:val="22"/>
              </w:rPr>
              <w:t xml:space="preserve"> YMCA have entered into a service agreement that will contain the project objective and actions. Further details can also be found below.</w:t>
            </w:r>
          </w:p>
          <w:p w14:paraId="5AAC1D47" w14:textId="77777777" w:rsidR="006C0386" w:rsidRPr="00D152A1" w:rsidRDefault="006C0386" w:rsidP="00622D67">
            <w:pPr>
              <w:pStyle w:val="ListParagraph"/>
              <w:autoSpaceDE w:val="0"/>
              <w:autoSpaceDN w:val="0"/>
              <w:adjustRightInd w:val="0"/>
              <w:spacing w:before="2" w:after="2" w:line="240" w:lineRule="auto"/>
              <w:rPr>
                <w:rFonts w:cstheme="minorHAnsi"/>
                <w:color w:val="auto"/>
                <w:sz w:val="22"/>
              </w:rPr>
            </w:pPr>
          </w:p>
          <w:p w14:paraId="373C62B4" w14:textId="0897E4ED" w:rsidR="00622D67" w:rsidRPr="00D152A1" w:rsidRDefault="00622D67" w:rsidP="001C75AE">
            <w:pPr>
              <w:pStyle w:val="ListParagraph"/>
              <w:numPr>
                <w:ilvl w:val="0"/>
                <w:numId w:val="12"/>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Go beyond activities that are funded through other price control mechanism(s) or required through licence obligations, and:</w:t>
            </w:r>
          </w:p>
          <w:p w14:paraId="30C69AAB" w14:textId="77777777" w:rsidR="006C0386" w:rsidRPr="00D152A1" w:rsidRDefault="006C0386" w:rsidP="006C0386">
            <w:pPr>
              <w:pStyle w:val="ListParagraph"/>
              <w:autoSpaceDE w:val="0"/>
              <w:autoSpaceDN w:val="0"/>
              <w:adjustRightInd w:val="0"/>
              <w:spacing w:before="2" w:after="2" w:line="240" w:lineRule="auto"/>
              <w:rPr>
                <w:rFonts w:cstheme="minorHAnsi"/>
                <w:i/>
                <w:iCs/>
                <w:color w:val="auto"/>
                <w:sz w:val="22"/>
              </w:rPr>
            </w:pPr>
          </w:p>
          <w:p w14:paraId="7E21C0CA" w14:textId="00C285C9" w:rsidR="006C0386" w:rsidRPr="00D152A1" w:rsidRDefault="006C0386" w:rsidP="006C0386">
            <w:pPr>
              <w:pStyle w:val="ListParagraph"/>
              <w:autoSpaceDE w:val="0"/>
              <w:autoSpaceDN w:val="0"/>
              <w:adjustRightInd w:val="0"/>
              <w:spacing w:before="2" w:after="2" w:line="240" w:lineRule="auto"/>
              <w:rPr>
                <w:rFonts w:cstheme="minorHAnsi"/>
                <w:i/>
                <w:iCs/>
                <w:color w:val="auto"/>
                <w:sz w:val="22"/>
              </w:rPr>
            </w:pPr>
            <w:r w:rsidRPr="00D152A1">
              <w:rPr>
                <w:rFonts w:cstheme="minorHAnsi"/>
                <w:i/>
                <w:iCs/>
                <w:color w:val="auto"/>
                <w:sz w:val="22"/>
              </w:rPr>
              <w:t xml:space="preserve">This method of delivering support to customers in vulnerable situations falls outside of </w:t>
            </w:r>
            <w:r w:rsidR="00902A08" w:rsidRPr="00D152A1">
              <w:rPr>
                <w:rFonts w:cstheme="minorHAnsi"/>
                <w:i/>
                <w:iCs/>
                <w:color w:val="auto"/>
                <w:sz w:val="22"/>
              </w:rPr>
              <w:t>the G</w:t>
            </w:r>
            <w:r w:rsidR="0089774B" w:rsidRPr="00D152A1">
              <w:rPr>
                <w:rFonts w:cstheme="minorHAnsi"/>
                <w:i/>
                <w:iCs/>
                <w:color w:val="auto"/>
                <w:sz w:val="22"/>
              </w:rPr>
              <w:t>DN</w:t>
            </w:r>
            <w:r w:rsidR="00902A08" w:rsidRPr="00D152A1">
              <w:rPr>
                <w:rFonts w:cstheme="minorHAnsi"/>
                <w:i/>
                <w:iCs/>
                <w:color w:val="auto"/>
                <w:sz w:val="22"/>
              </w:rPr>
              <w:t>s</w:t>
            </w:r>
            <w:r w:rsidRPr="00D152A1">
              <w:rPr>
                <w:rFonts w:cstheme="minorHAnsi"/>
                <w:i/>
                <w:iCs/>
                <w:color w:val="auto"/>
                <w:sz w:val="22"/>
              </w:rPr>
              <w:t xml:space="preserve"> BAU activities and other license conditions.</w:t>
            </w:r>
          </w:p>
          <w:p w14:paraId="1DC2AE77" w14:textId="6B1650AA" w:rsidR="00367350" w:rsidRPr="00D152A1" w:rsidRDefault="00367350" w:rsidP="00367350">
            <w:pPr>
              <w:autoSpaceDE w:val="0"/>
              <w:autoSpaceDN w:val="0"/>
              <w:adjustRightInd w:val="0"/>
              <w:spacing w:before="2" w:after="2" w:line="240" w:lineRule="auto"/>
              <w:rPr>
                <w:rFonts w:cstheme="minorHAnsi"/>
                <w:color w:val="auto"/>
                <w:sz w:val="22"/>
              </w:rPr>
            </w:pPr>
          </w:p>
          <w:p w14:paraId="6430D67B" w14:textId="77777777" w:rsidR="00367350" w:rsidRPr="00D152A1" w:rsidRDefault="00367350" w:rsidP="00622D67">
            <w:pPr>
              <w:pStyle w:val="ListParagraph"/>
              <w:autoSpaceDE w:val="0"/>
              <w:autoSpaceDN w:val="0"/>
              <w:adjustRightInd w:val="0"/>
              <w:spacing w:before="2" w:after="2" w:line="240" w:lineRule="auto"/>
              <w:rPr>
                <w:rFonts w:cstheme="minorHAnsi"/>
                <w:color w:val="auto"/>
                <w:sz w:val="22"/>
              </w:rPr>
            </w:pPr>
          </w:p>
          <w:p w14:paraId="356136E3" w14:textId="68676508" w:rsidR="00622D67" w:rsidRPr="00D152A1" w:rsidRDefault="00622D67" w:rsidP="001C75AE">
            <w:pPr>
              <w:pStyle w:val="ListParagraph"/>
              <w:numPr>
                <w:ilvl w:val="0"/>
                <w:numId w:val="12"/>
              </w:numPr>
              <w:autoSpaceDE w:val="0"/>
              <w:autoSpaceDN w:val="0"/>
              <w:adjustRightInd w:val="0"/>
              <w:spacing w:before="2" w:after="2" w:line="240" w:lineRule="auto"/>
              <w:rPr>
                <w:rFonts w:cstheme="minorHAnsi"/>
                <w:b/>
                <w:bCs/>
                <w:color w:val="auto"/>
                <w:sz w:val="22"/>
              </w:rPr>
            </w:pPr>
            <w:r w:rsidRPr="00D152A1">
              <w:rPr>
                <w:rFonts w:cstheme="minorHAnsi"/>
                <w:b/>
                <w:bCs/>
                <w:color w:val="auto"/>
                <w:sz w:val="22"/>
              </w:rPr>
              <w:t xml:space="preserve">Not be delivered through other external funding sources directly accessed by a GDN, including through other government (national, </w:t>
            </w:r>
            <w:r w:rsidR="00687E02" w:rsidRPr="00D152A1">
              <w:rPr>
                <w:rFonts w:cstheme="minorHAnsi"/>
                <w:b/>
                <w:bCs/>
                <w:color w:val="auto"/>
                <w:sz w:val="22"/>
              </w:rPr>
              <w:t>devolved,</w:t>
            </w:r>
            <w:r w:rsidRPr="00D152A1">
              <w:rPr>
                <w:rFonts w:cstheme="minorHAnsi"/>
                <w:b/>
                <w:bCs/>
                <w:color w:val="auto"/>
                <w:sz w:val="22"/>
              </w:rPr>
              <w:t xml:space="preserve"> or local) funding:</w:t>
            </w:r>
          </w:p>
          <w:p w14:paraId="0075DD2E" w14:textId="77777777" w:rsidR="00902A08" w:rsidRPr="00D152A1" w:rsidRDefault="00902A08" w:rsidP="00902A08">
            <w:pPr>
              <w:pStyle w:val="ListParagraph"/>
              <w:autoSpaceDE w:val="0"/>
              <w:autoSpaceDN w:val="0"/>
              <w:adjustRightInd w:val="0"/>
              <w:spacing w:before="2" w:after="2" w:line="240" w:lineRule="auto"/>
              <w:rPr>
                <w:rFonts w:cstheme="minorHAnsi"/>
                <w:b/>
                <w:bCs/>
                <w:i/>
                <w:iCs/>
                <w:color w:val="auto"/>
                <w:sz w:val="22"/>
              </w:rPr>
            </w:pPr>
          </w:p>
          <w:p w14:paraId="2E9CC102" w14:textId="0DA4E278" w:rsidR="00367350" w:rsidRPr="00D152A1" w:rsidRDefault="00367350" w:rsidP="00367350">
            <w:pPr>
              <w:pStyle w:val="ListParagraph"/>
              <w:autoSpaceDE w:val="0"/>
              <w:autoSpaceDN w:val="0"/>
              <w:adjustRightInd w:val="0"/>
              <w:spacing w:before="2" w:after="2" w:line="240" w:lineRule="auto"/>
              <w:rPr>
                <w:rFonts w:cstheme="minorHAnsi"/>
                <w:i/>
                <w:iCs/>
                <w:color w:val="auto"/>
                <w:sz w:val="22"/>
              </w:rPr>
            </w:pPr>
            <w:r w:rsidRPr="00D152A1">
              <w:rPr>
                <w:rFonts w:cstheme="minorHAnsi"/>
                <w:i/>
                <w:iCs/>
                <w:color w:val="auto"/>
                <w:sz w:val="22"/>
              </w:rPr>
              <w:t xml:space="preserve">This project will be delivered solely through </w:t>
            </w:r>
            <w:r w:rsidR="00355A00" w:rsidRPr="00D152A1">
              <w:rPr>
                <w:rFonts w:cstheme="minorHAnsi"/>
                <w:i/>
                <w:iCs/>
                <w:color w:val="auto"/>
                <w:sz w:val="22"/>
              </w:rPr>
              <w:t>the GDNs’</w:t>
            </w:r>
            <w:r w:rsidRPr="00D152A1">
              <w:rPr>
                <w:rFonts w:cstheme="minorHAnsi"/>
                <w:i/>
                <w:iCs/>
                <w:color w:val="auto"/>
                <w:sz w:val="22"/>
              </w:rPr>
              <w:t xml:space="preserve"> VCMA funding.</w:t>
            </w:r>
          </w:p>
          <w:p w14:paraId="5A5195DA" w14:textId="31CDF206" w:rsidR="00622D67" w:rsidRPr="00D152A1" w:rsidRDefault="00622D67" w:rsidP="006057E2">
            <w:pPr>
              <w:autoSpaceDE w:val="0"/>
              <w:autoSpaceDN w:val="0"/>
              <w:adjustRightInd w:val="0"/>
              <w:spacing w:before="2" w:after="2" w:line="240" w:lineRule="auto"/>
              <w:rPr>
                <w:rFonts w:cstheme="minorHAnsi"/>
                <w:color w:val="auto"/>
                <w:sz w:val="22"/>
              </w:rPr>
            </w:pPr>
          </w:p>
        </w:tc>
      </w:tr>
      <w:tr w:rsidR="001A0F9B" w:rsidRPr="004462A4" w14:paraId="1FC4B758" w14:textId="77777777" w:rsidTr="00E24930">
        <w:trPr>
          <w:trHeight w:val="239"/>
        </w:trPr>
        <w:tc>
          <w:tcPr>
            <w:tcW w:w="972" w:type="pct"/>
          </w:tcPr>
          <w:p w14:paraId="5183D0FE" w14:textId="1E0AE7E2" w:rsidR="00D113D7" w:rsidRPr="004462A4" w:rsidRDefault="00D113D7" w:rsidP="00D113D7">
            <w:pPr>
              <w:pStyle w:val="ChartSubtitle"/>
              <w:rPr>
                <w:b/>
                <w:bCs/>
                <w:szCs w:val="20"/>
              </w:rPr>
            </w:pPr>
            <w:r w:rsidRPr="004462A4">
              <w:rPr>
                <w:b/>
                <w:bCs/>
                <w:szCs w:val="20"/>
              </w:rPr>
              <w:lastRenderedPageBreak/>
              <w:t>Evidence of Stakeholder/</w:t>
            </w:r>
            <w:r w:rsidR="00093637">
              <w:rPr>
                <w:b/>
                <w:bCs/>
                <w:szCs w:val="20"/>
              </w:rPr>
              <w:t xml:space="preserve"> </w:t>
            </w:r>
            <w:r w:rsidRPr="004462A4">
              <w:rPr>
                <w:b/>
                <w:bCs/>
                <w:szCs w:val="20"/>
              </w:rPr>
              <w:t>Customer Support</w:t>
            </w:r>
          </w:p>
          <w:p w14:paraId="1121825E" w14:textId="040511AD" w:rsidR="00D113D7" w:rsidRPr="004462A4" w:rsidRDefault="00D113D7" w:rsidP="00D113D7">
            <w:pPr>
              <w:pStyle w:val="ChartSubtitle"/>
              <w:rPr>
                <w:b/>
                <w:bCs/>
                <w:szCs w:val="20"/>
              </w:rPr>
            </w:pPr>
          </w:p>
        </w:tc>
        <w:tc>
          <w:tcPr>
            <w:tcW w:w="4028" w:type="pct"/>
          </w:tcPr>
          <w:p w14:paraId="59B025B3" w14:textId="77777777" w:rsidR="004404FC" w:rsidRPr="00A21D9D" w:rsidRDefault="004404FC" w:rsidP="004404FC">
            <w:pPr>
              <w:rPr>
                <w:b/>
                <w:bCs/>
                <w:color w:val="auto"/>
                <w:sz w:val="22"/>
              </w:rPr>
            </w:pPr>
            <w:r w:rsidRPr="00A21D9D">
              <w:rPr>
                <w:b/>
                <w:bCs/>
                <w:color w:val="auto"/>
                <w:sz w:val="22"/>
              </w:rPr>
              <w:t>Breaking Barriers to Work: Return on Investment Analysis</w:t>
            </w:r>
          </w:p>
          <w:p w14:paraId="7177F462" w14:textId="66B21D2D" w:rsidR="004404FC" w:rsidRPr="00A21D9D" w:rsidRDefault="004404FC" w:rsidP="004404FC">
            <w:pPr>
              <w:rPr>
                <w:sz w:val="22"/>
              </w:rPr>
            </w:pPr>
            <w:r w:rsidRPr="00A21D9D">
              <w:rPr>
                <w:color w:val="auto"/>
                <w:sz w:val="22"/>
              </w:rPr>
              <w:t>An independent evaluation report, looking at two key policy recommendations proposed in YMCA’s</w:t>
            </w:r>
            <w:r w:rsidR="00093637">
              <w:rPr>
                <w:color w:val="auto"/>
                <w:sz w:val="22"/>
              </w:rPr>
              <w:t>,</w:t>
            </w:r>
            <w:r w:rsidRPr="00A21D9D">
              <w:rPr>
                <w:color w:val="auto"/>
                <w:sz w:val="22"/>
              </w:rPr>
              <w:t xml:space="preserve"> </w:t>
            </w:r>
            <w:r w:rsidRPr="00A21D9D">
              <w:rPr>
                <w:sz w:val="22"/>
              </w:rPr>
              <w:t>‘</w:t>
            </w:r>
            <w:hyperlink r:id="rId12" w:history="1">
              <w:r w:rsidRPr="00A21D9D">
                <w:rPr>
                  <w:rStyle w:val="Hyperlink"/>
                  <w:sz w:val="22"/>
                </w:rPr>
                <w:t>Breaking Barriers to Work</w:t>
              </w:r>
            </w:hyperlink>
            <w:r w:rsidRPr="00A21D9D">
              <w:rPr>
                <w:sz w:val="22"/>
              </w:rPr>
              <w:t xml:space="preserve">’ </w:t>
            </w:r>
            <w:r w:rsidRPr="00A21D9D">
              <w:rPr>
                <w:color w:val="auto"/>
                <w:sz w:val="22"/>
              </w:rPr>
              <w:t xml:space="preserve">(August 2023), has concluded that such reforms could yield significant savings for </w:t>
            </w:r>
            <w:r w:rsidR="009C7783" w:rsidRPr="00A21D9D">
              <w:rPr>
                <w:color w:val="auto"/>
                <w:sz w:val="22"/>
              </w:rPr>
              <w:t xml:space="preserve">the </w:t>
            </w:r>
            <w:r w:rsidRPr="00A21D9D">
              <w:rPr>
                <w:color w:val="auto"/>
                <w:sz w:val="22"/>
              </w:rPr>
              <w:t>Government and the taxpayer while ensuring young people in supported housing have the financial means to achieve independent living.</w:t>
            </w:r>
          </w:p>
          <w:p w14:paraId="21E739E1" w14:textId="77777777" w:rsidR="004404FC" w:rsidRPr="00A21D9D" w:rsidRDefault="004404FC" w:rsidP="004404FC">
            <w:pPr>
              <w:rPr>
                <w:sz w:val="22"/>
              </w:rPr>
            </w:pPr>
          </w:p>
          <w:p w14:paraId="3EA44454" w14:textId="77777777" w:rsidR="004404FC" w:rsidRPr="00A21D9D" w:rsidRDefault="004404FC" w:rsidP="004404FC">
            <w:pPr>
              <w:rPr>
                <w:color w:val="auto"/>
                <w:sz w:val="22"/>
              </w:rPr>
            </w:pPr>
            <w:r w:rsidRPr="00A21D9D">
              <w:rPr>
                <w:color w:val="auto"/>
                <w:sz w:val="22"/>
              </w:rPr>
              <w:t>The evaluation, conducted by data and insight specialists Stonehaven, explores two key proposals:</w:t>
            </w:r>
          </w:p>
          <w:p w14:paraId="3EDE3151" w14:textId="77777777" w:rsidR="004404FC" w:rsidRPr="00A21D9D" w:rsidRDefault="004404FC" w:rsidP="004404FC">
            <w:pPr>
              <w:pStyle w:val="ListParagraph"/>
              <w:numPr>
                <w:ilvl w:val="0"/>
                <w:numId w:val="38"/>
              </w:numPr>
              <w:spacing w:line="240" w:lineRule="auto"/>
              <w:contextualSpacing w:val="0"/>
              <w:rPr>
                <w:rFonts w:eastAsia="Times New Roman"/>
                <w:color w:val="auto"/>
                <w:sz w:val="22"/>
              </w:rPr>
            </w:pPr>
            <w:r w:rsidRPr="00A21D9D">
              <w:rPr>
                <w:rFonts w:eastAsia="Times New Roman"/>
                <w:color w:val="auto"/>
                <w:sz w:val="22"/>
              </w:rPr>
              <w:t>Raising the standard allowance for under-25s in supported housing to the same rate as the over-25s; and</w:t>
            </w:r>
          </w:p>
          <w:p w14:paraId="6D16D25B" w14:textId="77777777" w:rsidR="004404FC" w:rsidRPr="00A21D9D" w:rsidRDefault="004404FC" w:rsidP="004404FC">
            <w:pPr>
              <w:pStyle w:val="ListParagraph"/>
              <w:numPr>
                <w:ilvl w:val="0"/>
                <w:numId w:val="38"/>
              </w:numPr>
              <w:spacing w:line="240" w:lineRule="auto"/>
              <w:contextualSpacing w:val="0"/>
              <w:rPr>
                <w:rFonts w:eastAsia="Times New Roman"/>
                <w:color w:val="auto"/>
                <w:sz w:val="22"/>
              </w:rPr>
            </w:pPr>
            <w:r w:rsidRPr="00A21D9D">
              <w:rPr>
                <w:rFonts w:eastAsia="Times New Roman"/>
                <w:color w:val="auto"/>
                <w:sz w:val="22"/>
              </w:rPr>
              <w:t>Introduce a single-person work allowance for all residents of supported housing.</w:t>
            </w:r>
          </w:p>
          <w:p w14:paraId="1F90D669" w14:textId="77777777" w:rsidR="004404FC" w:rsidRPr="00A21D9D" w:rsidRDefault="004404FC" w:rsidP="004404FC">
            <w:pPr>
              <w:rPr>
                <w:rFonts w:eastAsiaTheme="minorHAnsi"/>
                <w:color w:val="auto"/>
                <w:sz w:val="22"/>
              </w:rPr>
            </w:pPr>
          </w:p>
          <w:p w14:paraId="127E3C9C" w14:textId="77777777" w:rsidR="004404FC" w:rsidRPr="00A21D9D" w:rsidRDefault="004404FC" w:rsidP="004404FC">
            <w:pPr>
              <w:rPr>
                <w:color w:val="auto"/>
                <w:sz w:val="22"/>
              </w:rPr>
            </w:pPr>
            <w:r w:rsidRPr="00A21D9D">
              <w:rPr>
                <w:color w:val="auto"/>
                <w:sz w:val="22"/>
              </w:rPr>
              <w:t>Assessing the economic viability of the proposed recommendations, Stonehaven found that implementing these modest reforms could yield substantial benefits for taxpayers and residents. While the proposed policies would incur an estimated cost of £130 million per year, they have the potential to save the Government in tax receipts and welfare spending up to £11 for every £1 invested, with the possibility of increasing to £18 when considering broader health, societal, and justice impacts.</w:t>
            </w:r>
          </w:p>
          <w:p w14:paraId="0FE7E492" w14:textId="77777777" w:rsidR="004404FC" w:rsidRPr="00A21D9D" w:rsidRDefault="004404FC" w:rsidP="004404FC">
            <w:pPr>
              <w:rPr>
                <w:color w:val="auto"/>
                <w:sz w:val="22"/>
              </w:rPr>
            </w:pPr>
          </w:p>
          <w:p w14:paraId="4E387BD9" w14:textId="77777777" w:rsidR="004404FC" w:rsidRPr="00A21D9D" w:rsidRDefault="004404FC" w:rsidP="004404FC">
            <w:pPr>
              <w:rPr>
                <w:color w:val="auto"/>
                <w:sz w:val="22"/>
              </w:rPr>
            </w:pPr>
            <w:r w:rsidRPr="00A21D9D">
              <w:rPr>
                <w:color w:val="auto"/>
                <w:sz w:val="22"/>
              </w:rPr>
              <w:lastRenderedPageBreak/>
              <w:t>YMCA’s ‘Breaking Barriers to Work’ report, which formed the basis of this study, highlighted how young people face additional financial challenges due to lower benefit levels and minimum wage rates compared to older adults. Those under 25 receive lower Standard Allowance rates and lower minimum wage rates.</w:t>
            </w:r>
          </w:p>
          <w:p w14:paraId="67F40042" w14:textId="77777777" w:rsidR="004404FC" w:rsidRPr="00A21D9D" w:rsidRDefault="004404FC" w:rsidP="004404FC">
            <w:pPr>
              <w:rPr>
                <w:color w:val="auto"/>
                <w:sz w:val="22"/>
              </w:rPr>
            </w:pPr>
          </w:p>
          <w:p w14:paraId="16BAC84F" w14:textId="77777777" w:rsidR="004404FC" w:rsidRPr="00A21D9D" w:rsidRDefault="004404FC" w:rsidP="004404FC">
            <w:pPr>
              <w:rPr>
                <w:color w:val="auto"/>
                <w:sz w:val="22"/>
              </w:rPr>
            </w:pPr>
            <w:r w:rsidRPr="00A21D9D">
              <w:rPr>
                <w:color w:val="auto"/>
                <w:sz w:val="22"/>
              </w:rPr>
              <w:t>Rising food and energy prices further strain their finances, as these increases outpace the rise in Universal Credit. Additionally, young people in supported accommodation receive 20% less welfare support despite facing similar living costs as older individuals.</w:t>
            </w:r>
          </w:p>
          <w:p w14:paraId="16A33A7F" w14:textId="77777777" w:rsidR="004404FC" w:rsidRPr="00A21D9D" w:rsidRDefault="004404FC" w:rsidP="004404FC">
            <w:pPr>
              <w:rPr>
                <w:sz w:val="22"/>
              </w:rPr>
            </w:pPr>
          </w:p>
          <w:p w14:paraId="0F07CBAB" w14:textId="4C9CF965" w:rsidR="004404FC" w:rsidRPr="00A21D9D" w:rsidRDefault="004404FC" w:rsidP="004404FC">
            <w:pPr>
              <w:rPr>
                <w:i/>
                <w:iCs/>
                <w:color w:val="auto"/>
                <w:sz w:val="22"/>
              </w:rPr>
            </w:pPr>
            <w:r w:rsidRPr="00A21D9D">
              <w:rPr>
                <w:i/>
                <w:iCs/>
                <w:sz w:val="22"/>
              </w:rPr>
              <w:t>“</w:t>
            </w:r>
            <w:r w:rsidRPr="00A21D9D">
              <w:rPr>
                <w:i/>
                <w:iCs/>
                <w:color w:val="auto"/>
                <w:sz w:val="22"/>
              </w:rPr>
              <w:t>With the Job</w:t>
            </w:r>
            <w:r w:rsidR="00F06054" w:rsidRPr="00A21D9D">
              <w:rPr>
                <w:i/>
                <w:iCs/>
                <w:color w:val="auto"/>
                <w:sz w:val="22"/>
              </w:rPr>
              <w:t xml:space="preserve"> </w:t>
            </w:r>
            <w:r w:rsidRPr="00A21D9D">
              <w:rPr>
                <w:i/>
                <w:iCs/>
                <w:color w:val="auto"/>
                <w:sz w:val="22"/>
              </w:rPr>
              <w:t xml:space="preserve">Centre, you’ll say you need to go to this appointment or this training course or whatever, and they need travel to get there, and the job centre will say, we’ll reimburse you when you’ve got your ticket. But they haven’t got the money to have the ticket in the first place. </w:t>
            </w:r>
            <w:proofErr w:type="gramStart"/>
            <w:r w:rsidRPr="00A21D9D">
              <w:rPr>
                <w:i/>
                <w:iCs/>
                <w:color w:val="auto"/>
                <w:sz w:val="22"/>
              </w:rPr>
              <w:t>So</w:t>
            </w:r>
            <w:proofErr w:type="gramEnd"/>
            <w:r w:rsidRPr="00A21D9D">
              <w:rPr>
                <w:i/>
                <w:iCs/>
                <w:color w:val="auto"/>
                <w:sz w:val="22"/>
              </w:rPr>
              <w:t xml:space="preserve"> they don’t go, and then they get sanctioned.”</w:t>
            </w:r>
          </w:p>
          <w:p w14:paraId="5B46D8B0" w14:textId="77777777" w:rsidR="006655B2" w:rsidRPr="00A21D9D" w:rsidRDefault="006655B2" w:rsidP="004404FC">
            <w:pPr>
              <w:rPr>
                <w:b/>
                <w:bCs/>
                <w:color w:val="auto"/>
                <w:sz w:val="22"/>
              </w:rPr>
            </w:pPr>
          </w:p>
          <w:p w14:paraId="391D1512" w14:textId="77777777" w:rsidR="004404FC" w:rsidRPr="00A21D9D" w:rsidRDefault="004404FC" w:rsidP="004404FC">
            <w:pPr>
              <w:rPr>
                <w:b/>
                <w:bCs/>
                <w:color w:val="auto"/>
                <w:sz w:val="22"/>
              </w:rPr>
            </w:pPr>
            <w:r w:rsidRPr="00A21D9D">
              <w:rPr>
                <w:b/>
                <w:bCs/>
                <w:color w:val="auto"/>
                <w:sz w:val="22"/>
              </w:rPr>
              <w:t>YMCA Staff, Wolverhampton</w:t>
            </w:r>
          </w:p>
          <w:p w14:paraId="389DC265" w14:textId="77777777" w:rsidR="004404FC" w:rsidRPr="00A21D9D" w:rsidRDefault="004404FC" w:rsidP="004404FC">
            <w:pPr>
              <w:rPr>
                <w:color w:val="auto"/>
                <w:sz w:val="22"/>
              </w:rPr>
            </w:pPr>
            <w:r w:rsidRPr="00A21D9D">
              <w:rPr>
                <w:color w:val="auto"/>
                <w:sz w:val="22"/>
              </w:rPr>
              <w:t>The complexity of the Universal Credit and Housing Benefit systems for those in supported housing means that working more can see them worse off, and this acts as a strong disincentive to employment. Stonehaven’s findings suggest mitigating these risks through mechanisms such as a grace period for those transitioning out of supported housing or simplifying benefits to eliminate cliff-edge scenarios, which often force young people back to square one.</w:t>
            </w:r>
          </w:p>
          <w:p w14:paraId="17377748" w14:textId="77777777" w:rsidR="004404FC" w:rsidRPr="00A21D9D" w:rsidRDefault="004404FC" w:rsidP="004404FC">
            <w:pPr>
              <w:rPr>
                <w:color w:val="auto"/>
                <w:sz w:val="22"/>
              </w:rPr>
            </w:pPr>
          </w:p>
          <w:p w14:paraId="45E7CFC9" w14:textId="77777777" w:rsidR="004404FC" w:rsidRPr="00A21D9D" w:rsidRDefault="004404FC" w:rsidP="004404FC">
            <w:pPr>
              <w:rPr>
                <w:color w:val="auto"/>
                <w:sz w:val="22"/>
              </w:rPr>
            </w:pPr>
            <w:r w:rsidRPr="00A21D9D">
              <w:rPr>
                <w:color w:val="auto"/>
                <w:sz w:val="22"/>
              </w:rPr>
              <w:t>The study’s comprehensive analysis offers policymakers valuable insights into the potential fiscal benefits of supporting residents into work and independent living. As the Government explores strategies to enhance social welfare, these findings serve as a compelling case for investing in measures that promote economic mobility and inclusivity.</w:t>
            </w:r>
          </w:p>
          <w:p w14:paraId="10118D82" w14:textId="77777777" w:rsidR="00F4070A" w:rsidRPr="00A21D9D" w:rsidRDefault="00F4070A" w:rsidP="004404FC">
            <w:pPr>
              <w:rPr>
                <w:color w:val="auto"/>
                <w:sz w:val="22"/>
              </w:rPr>
            </w:pPr>
          </w:p>
          <w:p w14:paraId="26DC4C90" w14:textId="05F5A5E3" w:rsidR="00F4070A" w:rsidRPr="00A21D9D" w:rsidRDefault="00F4070A" w:rsidP="00F4070A">
            <w:pPr>
              <w:rPr>
                <w:color w:val="auto"/>
                <w:sz w:val="22"/>
              </w:rPr>
            </w:pPr>
            <w:r w:rsidRPr="00A21D9D">
              <w:rPr>
                <w:color w:val="auto"/>
                <w:sz w:val="22"/>
              </w:rPr>
              <w:t xml:space="preserve">YMCA’s latest research, published as part of Campaign for Change in the </w:t>
            </w:r>
            <w:r w:rsidR="005B15FA" w:rsidRPr="00A21D9D">
              <w:rPr>
                <w:color w:val="auto"/>
                <w:sz w:val="22"/>
              </w:rPr>
              <w:t>run-up</w:t>
            </w:r>
            <w:r w:rsidRPr="00A21D9D">
              <w:rPr>
                <w:color w:val="auto"/>
                <w:sz w:val="22"/>
              </w:rPr>
              <w:t xml:space="preserve"> to the next General Election, uncovers how young people have been </w:t>
            </w:r>
            <w:r w:rsidRPr="00A21D9D">
              <w:rPr>
                <w:sz w:val="22"/>
              </w:rPr>
              <w:t>‘</w:t>
            </w:r>
            <w:hyperlink r:id="rId13" w:history="1">
              <w:r w:rsidRPr="00A21D9D">
                <w:rPr>
                  <w:rStyle w:val="Hyperlink"/>
                  <w:sz w:val="22"/>
                </w:rPr>
                <w:t>Trapped in the Cost of Living Crisis</w:t>
              </w:r>
            </w:hyperlink>
            <w:r w:rsidRPr="00A21D9D">
              <w:rPr>
                <w:sz w:val="22"/>
              </w:rPr>
              <w:t xml:space="preserve">’ </w:t>
            </w:r>
            <w:r w:rsidRPr="00A21D9D">
              <w:rPr>
                <w:color w:val="auto"/>
                <w:sz w:val="22"/>
              </w:rPr>
              <w:t xml:space="preserve">(April 2023) – yet reforms to the benefits system could provide critical support and save taxpayers money, as shown by </w:t>
            </w:r>
            <w:r w:rsidR="005B15FA" w:rsidRPr="00A21D9D">
              <w:rPr>
                <w:color w:val="auto"/>
                <w:sz w:val="22"/>
              </w:rPr>
              <w:t>an</w:t>
            </w:r>
            <w:r w:rsidRPr="00A21D9D">
              <w:rPr>
                <w:color w:val="auto"/>
                <w:sz w:val="22"/>
              </w:rPr>
              <w:t xml:space="preserve"> independent evaluation report. </w:t>
            </w:r>
          </w:p>
          <w:p w14:paraId="6C71ED9A" w14:textId="77777777" w:rsidR="00F4070A" w:rsidRPr="00A21D9D" w:rsidRDefault="00F4070A" w:rsidP="00F4070A">
            <w:pPr>
              <w:rPr>
                <w:color w:val="auto"/>
                <w:sz w:val="22"/>
              </w:rPr>
            </w:pPr>
          </w:p>
          <w:p w14:paraId="3A73DFAF" w14:textId="6861F6F7" w:rsidR="00C5747E" w:rsidRPr="00A21D9D" w:rsidRDefault="00F4070A" w:rsidP="00F4070A">
            <w:pPr>
              <w:rPr>
                <w:color w:val="auto"/>
                <w:sz w:val="22"/>
              </w:rPr>
            </w:pPr>
            <w:r w:rsidRPr="00A21D9D">
              <w:rPr>
                <w:color w:val="auto"/>
                <w:sz w:val="22"/>
              </w:rPr>
              <w:t xml:space="preserve">This research follows on from YMCA’s </w:t>
            </w:r>
            <w:r w:rsidRPr="00A21D9D">
              <w:rPr>
                <w:sz w:val="22"/>
              </w:rPr>
              <w:t>‘</w:t>
            </w:r>
            <w:hyperlink r:id="rId14" w:history="1">
              <w:r w:rsidRPr="00A21D9D">
                <w:rPr>
                  <w:rStyle w:val="Hyperlink"/>
                  <w:sz w:val="22"/>
                </w:rPr>
                <w:t>Breaking Barriers to Work</w:t>
              </w:r>
            </w:hyperlink>
            <w:r w:rsidRPr="00A21D9D">
              <w:rPr>
                <w:sz w:val="22"/>
              </w:rPr>
              <w:t xml:space="preserve">’ </w:t>
            </w:r>
            <w:r w:rsidRPr="00A21D9D">
              <w:rPr>
                <w:color w:val="auto"/>
                <w:sz w:val="22"/>
              </w:rPr>
              <w:t xml:space="preserve">report (August 2023) and subsequent workshops and focus groups with employers in the private sector exploring how businesses can support in breaking barriers to work for young people who have experienced homelessness – and what barriers can only be removed through the implementation of key policy recommendations by YMCA. </w:t>
            </w:r>
          </w:p>
          <w:p w14:paraId="28911247" w14:textId="77777777" w:rsidR="00BF096F" w:rsidRPr="00A21D9D" w:rsidRDefault="00BF096F" w:rsidP="00F4070A">
            <w:pPr>
              <w:rPr>
                <w:color w:val="auto"/>
                <w:sz w:val="22"/>
              </w:rPr>
            </w:pPr>
          </w:p>
          <w:p w14:paraId="2D7C91A3" w14:textId="77777777" w:rsidR="0078587E" w:rsidRPr="00A21D9D" w:rsidRDefault="0078587E" w:rsidP="00F4070A">
            <w:pPr>
              <w:rPr>
                <w:b/>
                <w:bCs/>
                <w:color w:val="auto"/>
                <w:sz w:val="22"/>
              </w:rPr>
            </w:pPr>
          </w:p>
          <w:p w14:paraId="6BA31042" w14:textId="0B6A77D4" w:rsidR="0078587E" w:rsidRDefault="0078587E" w:rsidP="00F4070A">
            <w:pPr>
              <w:rPr>
                <w:b/>
                <w:bCs/>
                <w:color w:val="auto"/>
                <w:sz w:val="22"/>
              </w:rPr>
            </w:pPr>
            <w:r w:rsidRPr="003B24C0">
              <w:rPr>
                <w:b/>
                <w:bCs/>
                <w:color w:val="auto"/>
                <w:sz w:val="22"/>
              </w:rPr>
              <w:t>WWU</w:t>
            </w:r>
          </w:p>
          <w:p w14:paraId="52E32D1E" w14:textId="4A8B814D" w:rsidR="002C3B06" w:rsidRPr="00093637" w:rsidRDefault="002C3B06" w:rsidP="003B24C0">
            <w:pPr>
              <w:rPr>
                <w:color w:val="auto"/>
                <w:sz w:val="22"/>
              </w:rPr>
            </w:pPr>
            <w:r w:rsidRPr="00093637">
              <w:rPr>
                <w:color w:val="auto"/>
                <w:sz w:val="22"/>
              </w:rPr>
              <w:t xml:space="preserve">Through our business planning activities, priority customer research and stakeholders told us that tackling fuel poverty was a priority for WWU alongside raising awareness of the PSR and the dangers of CO amongst disadvantaged communities and those who are most in need. </w:t>
            </w:r>
          </w:p>
          <w:p w14:paraId="69EDE458" w14:textId="77777777" w:rsidR="002C3B06" w:rsidRPr="00093637" w:rsidRDefault="002C3B06" w:rsidP="003B24C0">
            <w:pPr>
              <w:rPr>
                <w:color w:val="auto"/>
                <w:sz w:val="22"/>
              </w:rPr>
            </w:pPr>
          </w:p>
          <w:p w14:paraId="72818F61" w14:textId="3C7B86C4" w:rsidR="002C3B06" w:rsidRPr="00093637" w:rsidRDefault="002C3B06" w:rsidP="003B24C0">
            <w:pPr>
              <w:rPr>
                <w:color w:val="auto"/>
                <w:sz w:val="22"/>
              </w:rPr>
            </w:pPr>
            <w:r w:rsidRPr="00093637">
              <w:rPr>
                <w:color w:val="auto"/>
                <w:sz w:val="22"/>
              </w:rPr>
              <w:t xml:space="preserve">Our continued engagement with stakeholders such as the NEA, Citizens Advice, and charities supported by fuel poverty statistics shows due to high inflation and record energy prices that fuel poverty is impacted more homes than ever. People who were struggling are now not using the heating or limiting use to unhealthy levels and appliances are not being serviced leading to future safety risks. The crisis has meant people who have never been in trouble now find themselves needing help but not knowing where to turn for advice. </w:t>
            </w:r>
          </w:p>
          <w:p w14:paraId="498FC625" w14:textId="77777777" w:rsidR="002C3B06" w:rsidRPr="00093637" w:rsidRDefault="002C3B06" w:rsidP="002C3B06">
            <w:pPr>
              <w:pStyle w:val="Default"/>
              <w:rPr>
                <w:color w:val="auto"/>
                <w:sz w:val="22"/>
                <w:szCs w:val="22"/>
              </w:rPr>
            </w:pPr>
          </w:p>
          <w:p w14:paraId="4667ED1A" w14:textId="1DF53D95" w:rsidR="002C3B06" w:rsidRDefault="002C3B06" w:rsidP="002C3B06">
            <w:pPr>
              <w:rPr>
                <w:color w:val="auto"/>
                <w:sz w:val="22"/>
              </w:rPr>
            </w:pPr>
            <w:r w:rsidRPr="00093637">
              <w:rPr>
                <w:color w:val="auto"/>
                <w:sz w:val="22"/>
              </w:rPr>
              <w:t xml:space="preserve">We have tested support for projects under the VCMA which target fuel poverty through our </w:t>
            </w:r>
            <w:r w:rsidR="00EB523B" w:rsidRPr="00093637">
              <w:rPr>
                <w:color w:val="auto"/>
                <w:sz w:val="22"/>
              </w:rPr>
              <w:t>Independent Stakeholder Group</w:t>
            </w:r>
            <w:r w:rsidRPr="00093637">
              <w:rPr>
                <w:color w:val="auto"/>
                <w:sz w:val="22"/>
              </w:rPr>
              <w:t xml:space="preserve">, Citizens panels, VCMA showcase events and Regional Workshops with overwhelming support to continue and do even more. </w:t>
            </w:r>
            <w:r w:rsidR="00EB523B" w:rsidRPr="00093637">
              <w:rPr>
                <w:color w:val="auto"/>
                <w:sz w:val="22"/>
              </w:rPr>
              <w:t>Feedback demonstrated that p</w:t>
            </w:r>
            <w:r w:rsidRPr="00093637">
              <w:rPr>
                <w:color w:val="auto"/>
                <w:sz w:val="22"/>
              </w:rPr>
              <w:t xml:space="preserve">rojects should continue to be delivered through partnership organisations who are experts in delivering support services, such as YMCA. </w:t>
            </w:r>
          </w:p>
          <w:p w14:paraId="7A05C073" w14:textId="77777777" w:rsidR="00F5759C" w:rsidRDefault="00F5759C" w:rsidP="002C3B06">
            <w:pPr>
              <w:rPr>
                <w:color w:val="auto"/>
                <w:sz w:val="22"/>
              </w:rPr>
            </w:pPr>
          </w:p>
          <w:p w14:paraId="53762662" w14:textId="77777777" w:rsidR="00FE1E97" w:rsidRPr="00FE1E97" w:rsidRDefault="00FE1E97" w:rsidP="00FE1E97">
            <w:pPr>
              <w:rPr>
                <w:b/>
                <w:bCs/>
                <w:color w:val="auto"/>
                <w:sz w:val="22"/>
              </w:rPr>
            </w:pPr>
            <w:r w:rsidRPr="00FE1E97">
              <w:rPr>
                <w:b/>
                <w:bCs/>
                <w:color w:val="auto"/>
                <w:sz w:val="22"/>
              </w:rPr>
              <w:t>Cadent Gas Vulnerability Research </w:t>
            </w:r>
          </w:p>
          <w:p w14:paraId="76AB5C9C" w14:textId="77777777" w:rsidR="00FE1E97" w:rsidRPr="00FE1E97" w:rsidRDefault="00FE1E97" w:rsidP="00FE1E97">
            <w:pPr>
              <w:rPr>
                <w:color w:val="auto"/>
                <w:sz w:val="22"/>
                <w:lang w:val="en-US"/>
              </w:rPr>
            </w:pPr>
            <w:r w:rsidRPr="00FE1E97">
              <w:rPr>
                <w:color w:val="auto"/>
                <w:sz w:val="22"/>
                <w:lang w:val="en-US"/>
              </w:rPr>
              <w:lastRenderedPageBreak/>
              <w:t> </w:t>
            </w:r>
          </w:p>
          <w:p w14:paraId="270CB2CD" w14:textId="2CFE7D8C" w:rsidR="00FE1E97" w:rsidRPr="00FE1E97" w:rsidRDefault="00FE1E97" w:rsidP="00FE1E97">
            <w:pPr>
              <w:rPr>
                <w:color w:val="auto"/>
                <w:sz w:val="22"/>
              </w:rPr>
            </w:pPr>
            <w:r w:rsidRPr="00FE1E97">
              <w:rPr>
                <w:color w:val="auto"/>
                <w:sz w:val="22"/>
              </w:rPr>
              <w:t xml:space="preserve">In June 2024, Cadent part released the research findings from an investigation into fuel poverty, gas </w:t>
            </w:r>
            <w:r>
              <w:rPr>
                <w:color w:val="auto"/>
                <w:sz w:val="22"/>
              </w:rPr>
              <w:t>behaviour</w:t>
            </w:r>
            <w:r w:rsidRPr="00FE1E97">
              <w:rPr>
                <w:color w:val="auto"/>
                <w:sz w:val="22"/>
              </w:rPr>
              <w:t xml:space="preserve">, cost of living attitudes, concerns and </w:t>
            </w:r>
            <w:r w:rsidR="00C07AC3">
              <w:rPr>
                <w:color w:val="auto"/>
                <w:sz w:val="22"/>
              </w:rPr>
              <w:t>behaviours</w:t>
            </w:r>
            <w:r w:rsidRPr="00FE1E97">
              <w:rPr>
                <w:color w:val="auto"/>
                <w:sz w:val="22"/>
              </w:rPr>
              <w:t xml:space="preserve"> and other key areas. Some of the key findings were:  </w:t>
            </w:r>
          </w:p>
          <w:p w14:paraId="2D342C21" w14:textId="77777777" w:rsidR="00FE1E97" w:rsidRPr="00FE1E97" w:rsidRDefault="00FE1E97" w:rsidP="00FE1E97">
            <w:pPr>
              <w:rPr>
                <w:color w:val="auto"/>
                <w:sz w:val="22"/>
              </w:rPr>
            </w:pPr>
            <w:r w:rsidRPr="00FE1E97">
              <w:rPr>
                <w:color w:val="auto"/>
                <w:sz w:val="22"/>
              </w:rPr>
              <w:t> </w:t>
            </w:r>
          </w:p>
          <w:p w14:paraId="458DB6AB" w14:textId="77777777" w:rsidR="00FE1E97" w:rsidRPr="00FE1E97" w:rsidRDefault="00FE1E97" w:rsidP="00FE1E97">
            <w:pPr>
              <w:numPr>
                <w:ilvl w:val="0"/>
                <w:numId w:val="44"/>
              </w:numPr>
              <w:rPr>
                <w:color w:val="auto"/>
                <w:sz w:val="22"/>
              </w:rPr>
            </w:pPr>
            <w:r w:rsidRPr="00FE1E97">
              <w:rPr>
                <w:color w:val="auto"/>
                <w:sz w:val="22"/>
              </w:rPr>
              <w:t>Tackling the cost-of-living crisis is a top priority for the fuel-poor. </w:t>
            </w:r>
          </w:p>
          <w:p w14:paraId="68A59F4D" w14:textId="77777777" w:rsidR="00FE1E97" w:rsidRPr="00FE1E97" w:rsidRDefault="00FE1E97" w:rsidP="00FE1E97">
            <w:pPr>
              <w:numPr>
                <w:ilvl w:val="0"/>
                <w:numId w:val="45"/>
              </w:numPr>
              <w:rPr>
                <w:color w:val="auto"/>
                <w:sz w:val="22"/>
              </w:rPr>
            </w:pPr>
            <w:r w:rsidRPr="00FE1E97">
              <w:rPr>
                <w:color w:val="auto"/>
                <w:sz w:val="22"/>
              </w:rPr>
              <w:t>People in poverty prioritise addressing immediate needs over long-term planning to cope with stressors they experience at present. </w:t>
            </w:r>
          </w:p>
          <w:p w14:paraId="34DD3D5E" w14:textId="77777777" w:rsidR="00FE1E97" w:rsidRPr="00FE1E97" w:rsidRDefault="00FE1E97" w:rsidP="00FE1E97">
            <w:pPr>
              <w:numPr>
                <w:ilvl w:val="0"/>
                <w:numId w:val="46"/>
              </w:numPr>
              <w:rPr>
                <w:color w:val="auto"/>
                <w:sz w:val="22"/>
              </w:rPr>
            </w:pPr>
            <w:r w:rsidRPr="00FE1E97">
              <w:rPr>
                <w:color w:val="auto"/>
                <w:sz w:val="22"/>
              </w:rPr>
              <w:t>Knowledge of CO is a key driver for behaviour. </w:t>
            </w:r>
          </w:p>
          <w:p w14:paraId="4D931CCD" w14:textId="2FEF4043" w:rsidR="00113D57" w:rsidRPr="00687E02" w:rsidRDefault="00113D57" w:rsidP="00C11D10">
            <w:pPr>
              <w:pStyle w:val="bodytext0"/>
              <w:spacing w:before="0" w:after="0"/>
              <w:rPr>
                <w:rFonts w:cstheme="minorHAnsi"/>
                <w:szCs w:val="20"/>
              </w:rPr>
            </w:pPr>
          </w:p>
        </w:tc>
      </w:tr>
      <w:tr w:rsidR="00093637" w:rsidRPr="00093637" w14:paraId="12EA504F" w14:textId="77777777" w:rsidTr="00E24930">
        <w:trPr>
          <w:trHeight w:val="239"/>
        </w:trPr>
        <w:tc>
          <w:tcPr>
            <w:tcW w:w="972" w:type="pct"/>
          </w:tcPr>
          <w:p w14:paraId="104E4EB0" w14:textId="4DC537B5" w:rsidR="00D113D7" w:rsidRPr="004462A4" w:rsidRDefault="00D113D7" w:rsidP="00D113D7">
            <w:pPr>
              <w:pStyle w:val="ChartSubtitle"/>
              <w:rPr>
                <w:b/>
                <w:bCs/>
                <w:szCs w:val="20"/>
              </w:rPr>
            </w:pPr>
            <w:r w:rsidRPr="004462A4">
              <w:rPr>
                <w:b/>
                <w:bCs/>
                <w:szCs w:val="20"/>
              </w:rPr>
              <w:lastRenderedPageBreak/>
              <w:t>Outcomes, Associated Actions and Success Criteria</w:t>
            </w:r>
          </w:p>
          <w:p w14:paraId="58BA80C3" w14:textId="48F5947D" w:rsidR="00D113D7" w:rsidRPr="004462A4" w:rsidRDefault="00D113D7" w:rsidP="00D113D7">
            <w:pPr>
              <w:pStyle w:val="ChartSubtitle"/>
              <w:rPr>
                <w:b/>
                <w:bCs/>
                <w:szCs w:val="20"/>
              </w:rPr>
            </w:pPr>
          </w:p>
        </w:tc>
        <w:tc>
          <w:tcPr>
            <w:tcW w:w="4028" w:type="pct"/>
          </w:tcPr>
          <w:p w14:paraId="21944992" w14:textId="15257A34" w:rsidR="00235CFD" w:rsidRDefault="00A06A0A" w:rsidP="00071821">
            <w:pPr>
              <w:pStyle w:val="ChartSubtitle"/>
              <w:rPr>
                <w:rFonts w:cstheme="minorHAnsi"/>
                <w:color w:val="auto"/>
                <w:sz w:val="22"/>
                <w:u w:val="single"/>
              </w:rPr>
            </w:pPr>
            <w:r w:rsidRPr="00093637">
              <w:rPr>
                <w:rFonts w:cstheme="minorHAnsi"/>
                <w:color w:val="auto"/>
                <w:sz w:val="22"/>
                <w:u w:val="single"/>
              </w:rPr>
              <w:t xml:space="preserve">Project </w:t>
            </w:r>
            <w:r w:rsidR="00A9003E" w:rsidRPr="00093637">
              <w:rPr>
                <w:rFonts w:cstheme="minorHAnsi"/>
                <w:color w:val="auto"/>
                <w:sz w:val="22"/>
                <w:u w:val="single"/>
              </w:rPr>
              <w:t>Outcomes</w:t>
            </w:r>
          </w:p>
          <w:p w14:paraId="67456B43" w14:textId="77777777" w:rsidR="00235CFD" w:rsidRDefault="00235CFD" w:rsidP="00071821">
            <w:pPr>
              <w:pStyle w:val="ChartSubtitle"/>
              <w:rPr>
                <w:rFonts w:cstheme="minorHAnsi"/>
                <w:color w:val="auto"/>
                <w:sz w:val="22"/>
                <w:u w:val="single"/>
              </w:rPr>
            </w:pPr>
          </w:p>
          <w:p w14:paraId="3C28BD3E" w14:textId="1B38C4EC" w:rsidR="00B81A6E" w:rsidRPr="00093637" w:rsidRDefault="00A06A0A" w:rsidP="00071821">
            <w:pPr>
              <w:pStyle w:val="ChartSubtitle"/>
              <w:rPr>
                <w:rFonts w:cstheme="minorHAnsi"/>
                <w:color w:val="auto"/>
                <w:sz w:val="22"/>
              </w:rPr>
            </w:pPr>
            <w:r w:rsidRPr="00093637">
              <w:rPr>
                <w:rFonts w:cstheme="minorHAnsi"/>
                <w:color w:val="auto"/>
                <w:sz w:val="22"/>
              </w:rPr>
              <w:t xml:space="preserve">Cadent, SGN &amp; WWU will invest </w:t>
            </w:r>
            <w:r w:rsidR="003D1EAE">
              <w:rPr>
                <w:rFonts w:cstheme="minorHAnsi"/>
                <w:color w:val="auto"/>
                <w:sz w:val="22"/>
              </w:rPr>
              <w:t>£1,392,800.00</w:t>
            </w:r>
            <w:r w:rsidRPr="00093637">
              <w:rPr>
                <w:rFonts w:cstheme="minorHAnsi"/>
                <w:color w:val="auto"/>
                <w:sz w:val="22"/>
              </w:rPr>
              <w:t xml:space="preserve"> </w:t>
            </w:r>
            <w:r w:rsidR="004F2E8A" w:rsidRPr="00093637">
              <w:rPr>
                <w:rFonts w:cstheme="minorHAnsi"/>
                <w:color w:val="auto"/>
                <w:sz w:val="22"/>
              </w:rPr>
              <w:t>of</w:t>
            </w:r>
            <w:r w:rsidRPr="00093637">
              <w:rPr>
                <w:rFonts w:cstheme="minorHAnsi"/>
                <w:color w:val="auto"/>
                <w:sz w:val="22"/>
              </w:rPr>
              <w:t xml:space="preserve"> </w:t>
            </w:r>
            <w:r w:rsidR="004F2E8A" w:rsidRPr="00093637">
              <w:rPr>
                <w:rFonts w:cstheme="minorHAnsi"/>
                <w:color w:val="auto"/>
                <w:sz w:val="22"/>
              </w:rPr>
              <w:t>the</w:t>
            </w:r>
            <w:r w:rsidRPr="00093637">
              <w:rPr>
                <w:rFonts w:cstheme="minorHAnsi"/>
                <w:color w:val="auto"/>
                <w:sz w:val="22"/>
              </w:rPr>
              <w:t xml:space="preserve"> VCMA to support and develop a range of services </w:t>
            </w:r>
            <w:r w:rsidR="004F2E8A" w:rsidRPr="00093637">
              <w:rPr>
                <w:rFonts w:cstheme="minorHAnsi"/>
                <w:color w:val="auto"/>
                <w:sz w:val="22"/>
              </w:rPr>
              <w:t xml:space="preserve">that </w:t>
            </w:r>
            <w:r w:rsidRPr="00093637">
              <w:rPr>
                <w:rFonts w:cstheme="minorHAnsi"/>
                <w:color w:val="auto"/>
                <w:sz w:val="22"/>
              </w:rPr>
              <w:t xml:space="preserve">will be directly for </w:t>
            </w:r>
            <w:r w:rsidR="004F2E8A" w:rsidRPr="00093637">
              <w:rPr>
                <w:rFonts w:cstheme="minorHAnsi"/>
                <w:color w:val="auto"/>
                <w:sz w:val="22"/>
              </w:rPr>
              <w:t>7</w:t>
            </w:r>
            <w:r w:rsidR="00F6555C" w:rsidRPr="00093637">
              <w:rPr>
                <w:rFonts w:cstheme="minorHAnsi"/>
                <w:color w:val="auto"/>
                <w:sz w:val="22"/>
              </w:rPr>
              <w:t>8</w:t>
            </w:r>
            <w:r w:rsidRPr="00093637">
              <w:rPr>
                <w:rFonts w:cstheme="minorHAnsi"/>
                <w:color w:val="auto"/>
                <w:sz w:val="22"/>
              </w:rPr>
              <w:t xml:space="preserve"> of the YMCAs</w:t>
            </w:r>
            <w:r w:rsidR="00C062D1" w:rsidRPr="00093637">
              <w:rPr>
                <w:rFonts w:cstheme="minorHAnsi"/>
                <w:color w:val="auto"/>
                <w:sz w:val="22"/>
              </w:rPr>
              <w:t xml:space="preserve"> and will reach </w:t>
            </w:r>
            <w:r w:rsidR="0029568F" w:rsidRPr="00093637">
              <w:rPr>
                <w:rFonts w:cstheme="minorHAnsi"/>
                <w:color w:val="auto"/>
                <w:sz w:val="22"/>
              </w:rPr>
              <w:t>227,367</w:t>
            </w:r>
            <w:r w:rsidR="009F385B" w:rsidRPr="00093637">
              <w:rPr>
                <w:rFonts w:cstheme="minorHAnsi"/>
                <w:color w:val="auto"/>
                <w:sz w:val="22"/>
              </w:rPr>
              <w:t xml:space="preserve"> </w:t>
            </w:r>
            <w:r w:rsidR="00190FF2" w:rsidRPr="00093637">
              <w:rPr>
                <w:rFonts w:cstheme="minorHAnsi"/>
                <w:color w:val="auto"/>
                <w:sz w:val="22"/>
              </w:rPr>
              <w:t>individuals throughout England, Scotland</w:t>
            </w:r>
            <w:r w:rsidR="006D654B" w:rsidRPr="00093637">
              <w:rPr>
                <w:rFonts w:cstheme="minorHAnsi"/>
                <w:color w:val="auto"/>
                <w:sz w:val="22"/>
              </w:rPr>
              <w:t>,</w:t>
            </w:r>
            <w:r w:rsidR="00190FF2" w:rsidRPr="00093637">
              <w:rPr>
                <w:rFonts w:cstheme="minorHAnsi"/>
                <w:color w:val="auto"/>
                <w:sz w:val="22"/>
              </w:rPr>
              <w:t xml:space="preserve"> and Wales over </w:t>
            </w:r>
            <w:r w:rsidR="006D654B" w:rsidRPr="00093637">
              <w:rPr>
                <w:rFonts w:cstheme="minorHAnsi"/>
                <w:color w:val="auto"/>
                <w:sz w:val="22"/>
              </w:rPr>
              <w:t>12 months</w:t>
            </w:r>
            <w:r w:rsidR="00190FF2" w:rsidRPr="00093637">
              <w:rPr>
                <w:rFonts w:cstheme="minorHAnsi"/>
                <w:color w:val="auto"/>
                <w:sz w:val="22"/>
              </w:rPr>
              <w:t>.</w:t>
            </w:r>
          </w:p>
          <w:p w14:paraId="6575DAFA" w14:textId="6B1C3B25" w:rsidR="00F410F3" w:rsidRPr="00093637" w:rsidRDefault="00A06A0A" w:rsidP="00071821">
            <w:pPr>
              <w:pStyle w:val="ChartSubtitle"/>
              <w:rPr>
                <w:rFonts w:cstheme="minorHAnsi"/>
                <w:color w:val="auto"/>
                <w:sz w:val="22"/>
              </w:rPr>
            </w:pPr>
            <w:r w:rsidRPr="00093637">
              <w:rPr>
                <w:rFonts w:cstheme="minorHAnsi"/>
                <w:color w:val="auto"/>
                <w:sz w:val="22"/>
              </w:rPr>
              <w:t xml:space="preserve">The partnership with the </w:t>
            </w:r>
            <w:r w:rsidR="00F410F3" w:rsidRPr="00093637">
              <w:rPr>
                <w:rFonts w:cstheme="minorHAnsi"/>
                <w:color w:val="auto"/>
                <w:sz w:val="22"/>
              </w:rPr>
              <w:t>7</w:t>
            </w:r>
            <w:r w:rsidR="00F6555C" w:rsidRPr="00093637">
              <w:rPr>
                <w:rFonts w:cstheme="minorHAnsi"/>
                <w:color w:val="auto"/>
                <w:sz w:val="22"/>
              </w:rPr>
              <w:t>8</w:t>
            </w:r>
            <w:r w:rsidR="00F410F3" w:rsidRPr="00093637">
              <w:rPr>
                <w:rFonts w:cstheme="minorHAnsi"/>
                <w:color w:val="auto"/>
                <w:sz w:val="22"/>
              </w:rPr>
              <w:t xml:space="preserve"> </w:t>
            </w:r>
            <w:r w:rsidRPr="00093637">
              <w:rPr>
                <w:rFonts w:cstheme="minorHAnsi"/>
                <w:color w:val="auto"/>
                <w:sz w:val="22"/>
              </w:rPr>
              <w:t>YMCAs will be broken down as per below and our funding will help and support the enhancement of the below services</w:t>
            </w:r>
            <w:r w:rsidR="008142F6" w:rsidRPr="00093637">
              <w:rPr>
                <w:rFonts w:cstheme="minorHAnsi"/>
                <w:color w:val="auto"/>
                <w:sz w:val="22"/>
              </w:rPr>
              <w:t xml:space="preserve"> and information distribution</w:t>
            </w:r>
            <w:r w:rsidRPr="00093637">
              <w:rPr>
                <w:rFonts w:cstheme="minorHAnsi"/>
                <w:color w:val="auto"/>
                <w:sz w:val="22"/>
              </w:rPr>
              <w:t xml:space="preserve">: </w:t>
            </w:r>
          </w:p>
          <w:p w14:paraId="5C9C519D" w14:textId="77777777" w:rsidR="003648A4" w:rsidRPr="00093637" w:rsidRDefault="003648A4" w:rsidP="00071821">
            <w:pPr>
              <w:pStyle w:val="ChartSubtitle"/>
              <w:rPr>
                <w:rFonts w:cstheme="minorHAnsi"/>
                <w:color w:val="auto"/>
                <w:sz w:val="22"/>
              </w:rPr>
            </w:pPr>
          </w:p>
          <w:p w14:paraId="779BD944" w14:textId="77777777" w:rsidR="00F410F3" w:rsidRPr="00093637" w:rsidRDefault="00A06A0A" w:rsidP="00071821">
            <w:pPr>
              <w:pStyle w:val="ChartSubtitle"/>
              <w:rPr>
                <w:rFonts w:cstheme="minorHAnsi"/>
                <w:color w:val="auto"/>
                <w:sz w:val="22"/>
              </w:rPr>
            </w:pPr>
            <w:r w:rsidRPr="00093637">
              <w:rPr>
                <w:rFonts w:cstheme="minorHAnsi"/>
                <w:color w:val="auto"/>
                <w:sz w:val="22"/>
              </w:rPr>
              <w:t xml:space="preserve">• Benefits and welfare support </w:t>
            </w:r>
          </w:p>
          <w:p w14:paraId="521DDB42" w14:textId="7335F243" w:rsidR="00F410F3" w:rsidRPr="00093637" w:rsidRDefault="00A06A0A" w:rsidP="00071821">
            <w:pPr>
              <w:pStyle w:val="ChartSubtitle"/>
              <w:rPr>
                <w:rFonts w:cstheme="minorHAnsi"/>
                <w:color w:val="auto"/>
                <w:sz w:val="22"/>
              </w:rPr>
            </w:pPr>
            <w:r w:rsidRPr="00093637">
              <w:rPr>
                <w:rFonts w:cstheme="minorHAnsi"/>
                <w:color w:val="auto"/>
                <w:sz w:val="22"/>
              </w:rPr>
              <w:t xml:space="preserve">• Health and wellbeing </w:t>
            </w:r>
          </w:p>
          <w:p w14:paraId="3F45D570" w14:textId="77777777" w:rsidR="00F410F3" w:rsidRPr="00093637" w:rsidRDefault="00A06A0A" w:rsidP="00071821">
            <w:pPr>
              <w:pStyle w:val="ChartSubtitle"/>
              <w:rPr>
                <w:rFonts w:cstheme="minorHAnsi"/>
                <w:color w:val="auto"/>
                <w:sz w:val="22"/>
              </w:rPr>
            </w:pPr>
            <w:r w:rsidRPr="00093637">
              <w:rPr>
                <w:rFonts w:cstheme="minorHAnsi"/>
                <w:color w:val="auto"/>
                <w:sz w:val="22"/>
              </w:rPr>
              <w:t>• Employment and education/ training</w:t>
            </w:r>
          </w:p>
          <w:p w14:paraId="01D825CA" w14:textId="11714730" w:rsidR="00F410F3" w:rsidRPr="00093637" w:rsidRDefault="00A06A0A" w:rsidP="00071821">
            <w:pPr>
              <w:pStyle w:val="ChartSubtitle"/>
              <w:rPr>
                <w:rFonts w:cstheme="minorHAnsi"/>
                <w:color w:val="auto"/>
                <w:sz w:val="22"/>
              </w:rPr>
            </w:pPr>
            <w:r w:rsidRPr="00093637">
              <w:rPr>
                <w:rFonts w:cstheme="minorHAnsi"/>
                <w:color w:val="auto"/>
                <w:sz w:val="22"/>
              </w:rPr>
              <w:t>• Life skills</w:t>
            </w:r>
          </w:p>
          <w:p w14:paraId="79F681BC" w14:textId="00DBF5CC" w:rsidR="00F410F3" w:rsidRPr="00093637" w:rsidRDefault="00A06A0A" w:rsidP="00071821">
            <w:pPr>
              <w:pStyle w:val="ChartSubtitle"/>
              <w:rPr>
                <w:rFonts w:cstheme="minorHAnsi"/>
                <w:color w:val="auto"/>
                <w:sz w:val="22"/>
              </w:rPr>
            </w:pPr>
            <w:r w:rsidRPr="00093637">
              <w:rPr>
                <w:rFonts w:cstheme="minorHAnsi"/>
                <w:color w:val="auto"/>
                <w:sz w:val="22"/>
              </w:rPr>
              <w:t xml:space="preserve">• Money/ budgeting </w:t>
            </w:r>
          </w:p>
          <w:p w14:paraId="6E500985" w14:textId="5C2E5EC5" w:rsidR="00A06A0A" w:rsidRPr="00093637" w:rsidRDefault="00A06A0A" w:rsidP="00071821">
            <w:pPr>
              <w:pStyle w:val="ChartSubtitle"/>
              <w:rPr>
                <w:rFonts w:cstheme="minorHAnsi"/>
                <w:color w:val="auto"/>
                <w:sz w:val="22"/>
              </w:rPr>
            </w:pPr>
            <w:r w:rsidRPr="00093637">
              <w:rPr>
                <w:rFonts w:cstheme="minorHAnsi"/>
                <w:color w:val="auto"/>
                <w:sz w:val="22"/>
              </w:rPr>
              <w:t>• Cooking and healthy eating.</w:t>
            </w:r>
          </w:p>
          <w:p w14:paraId="3963F06F" w14:textId="77777777" w:rsidR="003B3684" w:rsidRPr="00093637" w:rsidRDefault="003B3684" w:rsidP="00071821">
            <w:pPr>
              <w:pStyle w:val="ChartSubtitle"/>
              <w:rPr>
                <w:rFonts w:cstheme="minorHAnsi"/>
                <w:color w:val="auto"/>
                <w:sz w:val="22"/>
              </w:rPr>
            </w:pPr>
          </w:p>
          <w:p w14:paraId="3D7C718F" w14:textId="0E3B8FAF" w:rsidR="003B3684" w:rsidRPr="00093637" w:rsidRDefault="003B3684" w:rsidP="00071821">
            <w:pPr>
              <w:pStyle w:val="ChartSubtitle"/>
              <w:rPr>
                <w:rFonts w:cstheme="minorHAnsi"/>
                <w:color w:val="auto"/>
                <w:sz w:val="22"/>
                <w:u w:val="single"/>
              </w:rPr>
            </w:pPr>
            <w:r w:rsidRPr="00093637">
              <w:rPr>
                <w:rFonts w:cstheme="minorHAnsi"/>
                <w:color w:val="auto"/>
                <w:sz w:val="22"/>
                <w:u w:val="single"/>
              </w:rPr>
              <w:t>Reach:</w:t>
            </w:r>
          </w:p>
          <w:p w14:paraId="7790671C" w14:textId="77777777" w:rsidR="00E83C0E" w:rsidRPr="00093637" w:rsidRDefault="00E83C0E" w:rsidP="00071821">
            <w:pPr>
              <w:pStyle w:val="ChartSubtitle"/>
              <w:rPr>
                <w:rFonts w:cstheme="minorHAnsi"/>
                <w:color w:val="auto"/>
                <w:sz w:val="22"/>
                <w:u w:val="single"/>
              </w:rPr>
            </w:pPr>
          </w:p>
          <w:p w14:paraId="17E4CB4F" w14:textId="0EDC5CB5" w:rsidR="003B3684" w:rsidRPr="00093637" w:rsidRDefault="003B3684" w:rsidP="00071821">
            <w:pPr>
              <w:pStyle w:val="ChartSubtitle"/>
              <w:rPr>
                <w:rFonts w:cstheme="minorHAnsi"/>
                <w:color w:val="auto"/>
                <w:sz w:val="22"/>
              </w:rPr>
            </w:pPr>
            <w:r w:rsidRPr="00093637">
              <w:rPr>
                <w:rFonts w:cstheme="minorHAnsi"/>
                <w:color w:val="auto"/>
                <w:sz w:val="22"/>
              </w:rPr>
              <w:t>Cadent</w:t>
            </w:r>
            <w:r w:rsidR="00C20725" w:rsidRPr="00093637">
              <w:rPr>
                <w:rFonts w:cstheme="minorHAnsi"/>
                <w:color w:val="auto"/>
                <w:sz w:val="22"/>
              </w:rPr>
              <w:t>:</w:t>
            </w:r>
            <w:r w:rsidRPr="00093637">
              <w:rPr>
                <w:rFonts w:cstheme="minorHAnsi"/>
                <w:color w:val="auto"/>
                <w:sz w:val="22"/>
              </w:rPr>
              <w:t xml:space="preserve"> </w:t>
            </w:r>
            <w:r w:rsidR="004221F7" w:rsidRPr="00093637">
              <w:rPr>
                <w:rFonts w:cstheme="minorHAnsi"/>
                <w:color w:val="auto"/>
                <w:sz w:val="22"/>
              </w:rPr>
              <w:t>7</w:t>
            </w:r>
            <w:r w:rsidR="00952845" w:rsidRPr="00093637">
              <w:rPr>
                <w:rFonts w:cstheme="minorHAnsi"/>
                <w:color w:val="auto"/>
                <w:sz w:val="22"/>
              </w:rPr>
              <w:t>3,</w:t>
            </w:r>
            <w:r w:rsidR="003A7ED3" w:rsidRPr="00093637">
              <w:rPr>
                <w:rFonts w:cstheme="minorHAnsi"/>
                <w:color w:val="auto"/>
                <w:sz w:val="22"/>
              </w:rPr>
              <w:t>4</w:t>
            </w:r>
            <w:r w:rsidR="00952845" w:rsidRPr="00093637">
              <w:rPr>
                <w:rFonts w:cstheme="minorHAnsi"/>
                <w:color w:val="auto"/>
                <w:sz w:val="22"/>
              </w:rPr>
              <w:t>1</w:t>
            </w:r>
            <w:r w:rsidR="003A7ED3" w:rsidRPr="00093637">
              <w:rPr>
                <w:rFonts w:cstheme="minorHAnsi"/>
                <w:color w:val="auto"/>
                <w:sz w:val="22"/>
              </w:rPr>
              <w:t>2</w:t>
            </w:r>
            <w:r w:rsidR="004221F7" w:rsidRPr="00093637">
              <w:rPr>
                <w:rFonts w:cstheme="minorHAnsi"/>
                <w:color w:val="auto"/>
                <w:sz w:val="22"/>
              </w:rPr>
              <w:t xml:space="preserve"> individuals</w:t>
            </w:r>
            <w:r w:rsidR="00952845" w:rsidRPr="00093637">
              <w:rPr>
                <w:rFonts w:cstheme="minorHAnsi"/>
                <w:color w:val="auto"/>
                <w:sz w:val="22"/>
              </w:rPr>
              <w:t xml:space="preserve"> </w:t>
            </w:r>
            <w:r w:rsidR="000206C0" w:rsidRPr="00093637">
              <w:rPr>
                <w:rFonts w:cstheme="minorHAnsi"/>
                <w:color w:val="auto"/>
                <w:sz w:val="22"/>
              </w:rPr>
              <w:t>through</w:t>
            </w:r>
            <w:r w:rsidR="00952845" w:rsidRPr="00093637">
              <w:rPr>
                <w:rFonts w:cstheme="minorHAnsi"/>
                <w:color w:val="auto"/>
                <w:sz w:val="22"/>
              </w:rPr>
              <w:t xml:space="preserve"> 32 YMCAs</w:t>
            </w:r>
          </w:p>
          <w:p w14:paraId="0911EAD1" w14:textId="629E5748" w:rsidR="004221F7" w:rsidRPr="00093637" w:rsidRDefault="004221F7" w:rsidP="00071821">
            <w:pPr>
              <w:pStyle w:val="ChartSubtitle"/>
              <w:rPr>
                <w:rFonts w:cstheme="minorHAnsi"/>
                <w:color w:val="auto"/>
                <w:sz w:val="22"/>
              </w:rPr>
            </w:pPr>
            <w:r w:rsidRPr="00093637">
              <w:rPr>
                <w:rFonts w:cstheme="minorHAnsi"/>
                <w:color w:val="auto"/>
                <w:sz w:val="22"/>
              </w:rPr>
              <w:t>SGN</w:t>
            </w:r>
            <w:r w:rsidR="00C20725" w:rsidRPr="00093637">
              <w:rPr>
                <w:rFonts w:cstheme="minorHAnsi"/>
                <w:color w:val="auto"/>
                <w:sz w:val="22"/>
              </w:rPr>
              <w:t>:</w:t>
            </w:r>
            <w:r w:rsidRPr="00093637">
              <w:rPr>
                <w:rFonts w:cstheme="minorHAnsi"/>
                <w:color w:val="auto"/>
                <w:sz w:val="22"/>
              </w:rPr>
              <w:t xml:space="preserve"> </w:t>
            </w:r>
            <w:r w:rsidR="0043528F" w:rsidRPr="00093637">
              <w:rPr>
                <w:rFonts w:cstheme="minorHAnsi"/>
                <w:color w:val="auto"/>
                <w:sz w:val="22"/>
              </w:rPr>
              <w:t>95,77</w:t>
            </w:r>
            <w:r w:rsidR="003A7ED3" w:rsidRPr="00093637">
              <w:rPr>
                <w:rFonts w:cstheme="minorHAnsi"/>
                <w:color w:val="auto"/>
                <w:sz w:val="22"/>
              </w:rPr>
              <w:t>7</w:t>
            </w:r>
            <w:r w:rsidRPr="00093637">
              <w:rPr>
                <w:rFonts w:cstheme="minorHAnsi"/>
                <w:color w:val="auto"/>
                <w:sz w:val="22"/>
              </w:rPr>
              <w:t xml:space="preserve"> individuals</w:t>
            </w:r>
            <w:r w:rsidR="00952845" w:rsidRPr="00093637">
              <w:rPr>
                <w:rFonts w:cstheme="minorHAnsi"/>
                <w:color w:val="auto"/>
                <w:sz w:val="22"/>
              </w:rPr>
              <w:t xml:space="preserve"> </w:t>
            </w:r>
            <w:r w:rsidR="000206C0" w:rsidRPr="00093637">
              <w:rPr>
                <w:rFonts w:cstheme="minorHAnsi"/>
                <w:color w:val="auto"/>
                <w:sz w:val="22"/>
              </w:rPr>
              <w:t>through</w:t>
            </w:r>
            <w:r w:rsidR="00952845" w:rsidRPr="00093637">
              <w:rPr>
                <w:rFonts w:cstheme="minorHAnsi"/>
                <w:color w:val="auto"/>
                <w:sz w:val="22"/>
              </w:rPr>
              <w:t xml:space="preserve"> 35</w:t>
            </w:r>
            <w:r w:rsidR="00B44146" w:rsidRPr="00093637">
              <w:rPr>
                <w:rFonts w:cstheme="minorHAnsi"/>
                <w:color w:val="auto"/>
                <w:sz w:val="22"/>
              </w:rPr>
              <w:t xml:space="preserve"> YMCAs</w:t>
            </w:r>
          </w:p>
          <w:p w14:paraId="5FDCD6F1" w14:textId="13CD6800" w:rsidR="004221F7" w:rsidRPr="00093637" w:rsidRDefault="004221F7" w:rsidP="00071821">
            <w:pPr>
              <w:pStyle w:val="ChartSubtitle"/>
              <w:rPr>
                <w:rFonts w:cstheme="minorHAnsi"/>
                <w:color w:val="auto"/>
                <w:sz w:val="22"/>
              </w:rPr>
            </w:pPr>
            <w:r w:rsidRPr="00093637">
              <w:rPr>
                <w:rFonts w:cstheme="minorHAnsi"/>
                <w:color w:val="auto"/>
                <w:sz w:val="22"/>
              </w:rPr>
              <w:t>WWU</w:t>
            </w:r>
            <w:r w:rsidR="00C20725" w:rsidRPr="00093637">
              <w:rPr>
                <w:rFonts w:cstheme="minorHAnsi"/>
                <w:color w:val="auto"/>
                <w:sz w:val="22"/>
              </w:rPr>
              <w:t>:</w:t>
            </w:r>
            <w:r w:rsidR="00882FA3" w:rsidRPr="00093637">
              <w:rPr>
                <w:rFonts w:cstheme="minorHAnsi"/>
                <w:color w:val="auto"/>
                <w:sz w:val="22"/>
              </w:rPr>
              <w:t xml:space="preserve"> </w:t>
            </w:r>
            <w:r w:rsidR="00E65A90" w:rsidRPr="00093637">
              <w:rPr>
                <w:rFonts w:cstheme="minorHAnsi"/>
                <w:color w:val="auto"/>
                <w:sz w:val="22"/>
              </w:rPr>
              <w:t>58,177</w:t>
            </w:r>
            <w:r w:rsidR="00882FA3" w:rsidRPr="00093637">
              <w:rPr>
                <w:rFonts w:cstheme="minorHAnsi"/>
                <w:color w:val="auto"/>
                <w:sz w:val="22"/>
              </w:rPr>
              <w:t xml:space="preserve"> individuals</w:t>
            </w:r>
            <w:r w:rsidR="00B44146" w:rsidRPr="00093637">
              <w:rPr>
                <w:rFonts w:cstheme="minorHAnsi"/>
                <w:color w:val="auto"/>
                <w:sz w:val="22"/>
              </w:rPr>
              <w:t xml:space="preserve"> </w:t>
            </w:r>
            <w:r w:rsidR="000206C0" w:rsidRPr="00093637">
              <w:rPr>
                <w:rFonts w:cstheme="minorHAnsi"/>
                <w:color w:val="auto"/>
                <w:sz w:val="22"/>
              </w:rPr>
              <w:t>through</w:t>
            </w:r>
            <w:r w:rsidR="00B44146" w:rsidRPr="00093637">
              <w:rPr>
                <w:rFonts w:cstheme="minorHAnsi"/>
                <w:color w:val="auto"/>
                <w:sz w:val="22"/>
              </w:rPr>
              <w:t xml:space="preserve"> 11 YMCAs</w:t>
            </w:r>
          </w:p>
          <w:p w14:paraId="5F69F8DA" w14:textId="77777777" w:rsidR="00A06A0A" w:rsidRPr="00093637" w:rsidRDefault="00A06A0A" w:rsidP="00071821">
            <w:pPr>
              <w:pStyle w:val="ChartSubtitle"/>
              <w:rPr>
                <w:rFonts w:cstheme="minorHAnsi"/>
                <w:color w:val="auto"/>
                <w:sz w:val="22"/>
              </w:rPr>
            </w:pPr>
          </w:p>
          <w:p w14:paraId="5E27DC60" w14:textId="77777777" w:rsidR="00A4434E" w:rsidRPr="00093637" w:rsidRDefault="00284B3B" w:rsidP="00071821">
            <w:pPr>
              <w:pStyle w:val="ChartSubtitle"/>
              <w:rPr>
                <w:color w:val="auto"/>
                <w:sz w:val="22"/>
                <w:u w:val="single"/>
              </w:rPr>
            </w:pPr>
            <w:r w:rsidRPr="00093637">
              <w:rPr>
                <w:color w:val="auto"/>
                <w:sz w:val="22"/>
                <w:u w:val="single"/>
              </w:rPr>
              <w:t>Project Actions:</w:t>
            </w:r>
          </w:p>
          <w:p w14:paraId="73F3B7CE" w14:textId="77777777" w:rsidR="00152287" w:rsidRPr="00093637" w:rsidRDefault="00152287" w:rsidP="00071821">
            <w:pPr>
              <w:pStyle w:val="ChartSubtitle"/>
              <w:rPr>
                <w:color w:val="auto"/>
                <w:sz w:val="22"/>
              </w:rPr>
            </w:pPr>
          </w:p>
          <w:p w14:paraId="722F10BC" w14:textId="621B76D6" w:rsidR="00A4434E" w:rsidRPr="00093637" w:rsidRDefault="00152287" w:rsidP="00071821">
            <w:pPr>
              <w:pStyle w:val="ChartSubtitle"/>
              <w:rPr>
                <w:color w:val="auto"/>
                <w:sz w:val="22"/>
              </w:rPr>
            </w:pPr>
            <w:r w:rsidRPr="00093637">
              <w:rPr>
                <w:color w:val="auto"/>
                <w:sz w:val="22"/>
              </w:rPr>
              <w:t xml:space="preserve">The </w:t>
            </w:r>
            <w:r w:rsidR="00284B3B" w:rsidRPr="00093637">
              <w:rPr>
                <w:color w:val="auto"/>
                <w:sz w:val="22"/>
              </w:rPr>
              <w:t xml:space="preserve">YMCA will implement the following associated actions to deliver the project's outcomes: </w:t>
            </w:r>
          </w:p>
          <w:p w14:paraId="3B3FC25C" w14:textId="77777777" w:rsidR="008407EA" w:rsidRPr="00093637" w:rsidRDefault="008407EA" w:rsidP="00071821">
            <w:pPr>
              <w:pStyle w:val="ChartSubtitle"/>
              <w:rPr>
                <w:color w:val="auto"/>
                <w:sz w:val="22"/>
              </w:rPr>
            </w:pPr>
          </w:p>
          <w:p w14:paraId="6BBC881B" w14:textId="6C92B1E9" w:rsidR="00A4434E" w:rsidRPr="00093637" w:rsidRDefault="00284B3B" w:rsidP="00071821">
            <w:pPr>
              <w:pStyle w:val="ChartSubtitle"/>
              <w:rPr>
                <w:color w:val="auto"/>
                <w:sz w:val="22"/>
              </w:rPr>
            </w:pPr>
            <w:r w:rsidRPr="00093637">
              <w:rPr>
                <w:color w:val="auto"/>
                <w:sz w:val="22"/>
              </w:rPr>
              <w:t xml:space="preserve">• The YMCA </w:t>
            </w:r>
            <w:r w:rsidR="003F2445">
              <w:rPr>
                <w:color w:val="auto"/>
                <w:sz w:val="22"/>
              </w:rPr>
              <w:t>GDN P</w:t>
            </w:r>
            <w:r w:rsidRPr="00093637">
              <w:rPr>
                <w:color w:val="auto"/>
                <w:sz w:val="22"/>
              </w:rPr>
              <w:t xml:space="preserve">roject coordinator will coordinate the </w:t>
            </w:r>
            <w:r w:rsidR="006D7862" w:rsidRPr="00093637">
              <w:rPr>
                <w:color w:val="auto"/>
                <w:sz w:val="22"/>
              </w:rPr>
              <w:t>7</w:t>
            </w:r>
            <w:r w:rsidR="00B10C14" w:rsidRPr="00093637">
              <w:rPr>
                <w:color w:val="auto"/>
                <w:sz w:val="22"/>
              </w:rPr>
              <w:t>8</w:t>
            </w:r>
            <w:r w:rsidRPr="00093637">
              <w:rPr>
                <w:color w:val="auto"/>
                <w:sz w:val="22"/>
              </w:rPr>
              <w:t xml:space="preserve"> </w:t>
            </w:r>
            <w:r w:rsidR="001347A9" w:rsidRPr="00093637">
              <w:rPr>
                <w:color w:val="auto"/>
                <w:sz w:val="22"/>
              </w:rPr>
              <w:t>YMCAs</w:t>
            </w:r>
            <w:r w:rsidRPr="00093637">
              <w:rPr>
                <w:color w:val="auto"/>
                <w:sz w:val="22"/>
              </w:rPr>
              <w:t xml:space="preserve"> and set target deliverables to ensure the </w:t>
            </w:r>
            <w:r w:rsidR="000E7DE0" w:rsidRPr="00093637">
              <w:rPr>
                <w:color w:val="auto"/>
                <w:sz w:val="22"/>
              </w:rPr>
              <w:t>objectives</w:t>
            </w:r>
            <w:r w:rsidRPr="00093637">
              <w:rPr>
                <w:color w:val="auto"/>
                <w:sz w:val="22"/>
              </w:rPr>
              <w:t xml:space="preserve"> are met. </w:t>
            </w:r>
          </w:p>
          <w:p w14:paraId="38E7AAED" w14:textId="77777777" w:rsidR="00184EFF" w:rsidRPr="00093637" w:rsidRDefault="00284B3B" w:rsidP="00071821">
            <w:pPr>
              <w:pStyle w:val="ChartSubtitle"/>
              <w:rPr>
                <w:color w:val="auto"/>
                <w:sz w:val="22"/>
              </w:rPr>
            </w:pPr>
            <w:r w:rsidRPr="00093637">
              <w:rPr>
                <w:color w:val="auto"/>
                <w:sz w:val="22"/>
              </w:rPr>
              <w:t xml:space="preserve">• </w:t>
            </w:r>
            <w:r w:rsidR="009F3BB4" w:rsidRPr="00093637">
              <w:rPr>
                <w:color w:val="auto"/>
                <w:sz w:val="22"/>
              </w:rPr>
              <w:t xml:space="preserve">The </w:t>
            </w:r>
            <w:r w:rsidRPr="00093637">
              <w:rPr>
                <w:color w:val="auto"/>
                <w:sz w:val="22"/>
              </w:rPr>
              <w:t xml:space="preserve">YMCA will arrange events such as cooking sessions, budgeting, and resident meetings. </w:t>
            </w:r>
          </w:p>
          <w:p w14:paraId="35EB9AA1" w14:textId="5AA40763" w:rsidR="00A4434E" w:rsidRPr="00093637" w:rsidRDefault="00CF3D97" w:rsidP="003B24C0">
            <w:pPr>
              <w:pStyle w:val="ChartSubtitle"/>
              <w:rPr>
                <w:color w:val="auto"/>
                <w:sz w:val="22"/>
              </w:rPr>
            </w:pPr>
            <w:r w:rsidRPr="00093637">
              <w:rPr>
                <w:color w:val="auto"/>
                <w:sz w:val="22"/>
              </w:rPr>
              <w:t xml:space="preserve">• </w:t>
            </w:r>
            <w:r w:rsidR="00284B3B" w:rsidRPr="00093637">
              <w:rPr>
                <w:color w:val="auto"/>
                <w:sz w:val="22"/>
              </w:rPr>
              <w:t xml:space="preserve">YMCA will deliver sessions that will bring people together which will tackle loneliness and social isolation. </w:t>
            </w:r>
          </w:p>
          <w:p w14:paraId="38A5745E" w14:textId="22B9E7D9" w:rsidR="00A4434E" w:rsidRPr="00093637" w:rsidRDefault="00284B3B" w:rsidP="00071821">
            <w:pPr>
              <w:pStyle w:val="ChartSubtitle"/>
              <w:rPr>
                <w:color w:val="auto"/>
                <w:sz w:val="22"/>
              </w:rPr>
            </w:pPr>
            <w:r w:rsidRPr="00093637">
              <w:rPr>
                <w:color w:val="auto"/>
                <w:sz w:val="22"/>
              </w:rPr>
              <w:t xml:space="preserve">• Staff </w:t>
            </w:r>
            <w:r w:rsidR="00C533E6" w:rsidRPr="00093637">
              <w:rPr>
                <w:color w:val="auto"/>
                <w:sz w:val="22"/>
              </w:rPr>
              <w:t xml:space="preserve">&amp; volunteers </w:t>
            </w:r>
            <w:r w:rsidRPr="00093637">
              <w:rPr>
                <w:color w:val="auto"/>
                <w:sz w:val="22"/>
              </w:rPr>
              <w:t xml:space="preserve">will receive training on energy to </w:t>
            </w:r>
            <w:r w:rsidR="00CF3D97">
              <w:rPr>
                <w:color w:val="auto"/>
                <w:sz w:val="22"/>
              </w:rPr>
              <w:t>i</w:t>
            </w:r>
            <w:r w:rsidRPr="00093637">
              <w:rPr>
                <w:color w:val="auto"/>
                <w:sz w:val="22"/>
              </w:rPr>
              <w:t xml:space="preserve">ncrease </w:t>
            </w:r>
            <w:r w:rsidR="00184EFF" w:rsidRPr="00093637">
              <w:rPr>
                <w:color w:val="auto"/>
                <w:sz w:val="22"/>
              </w:rPr>
              <w:t>individual's</w:t>
            </w:r>
            <w:r w:rsidRPr="00093637">
              <w:rPr>
                <w:color w:val="auto"/>
                <w:sz w:val="22"/>
              </w:rPr>
              <w:t xml:space="preserve"> awareness of how to manage energy use more efficiently in the home. </w:t>
            </w:r>
          </w:p>
          <w:p w14:paraId="22F9373E" w14:textId="77777777" w:rsidR="00A4434E" w:rsidRPr="00093637" w:rsidRDefault="00284B3B" w:rsidP="00071821">
            <w:pPr>
              <w:pStyle w:val="ChartSubtitle"/>
              <w:rPr>
                <w:color w:val="auto"/>
                <w:sz w:val="22"/>
              </w:rPr>
            </w:pPr>
            <w:r w:rsidRPr="00093637">
              <w:rPr>
                <w:color w:val="auto"/>
                <w:sz w:val="22"/>
              </w:rPr>
              <w:t xml:space="preserve">• The Employability Co-ordinator will secure trials, apprenticeships, training, and jobs. This is to ensure practical skills are taught and practiced such as CV writing, job applications, and interviewing techniques. </w:t>
            </w:r>
          </w:p>
          <w:p w14:paraId="33F9702C" w14:textId="77777777" w:rsidR="00A4434E" w:rsidRPr="00093637" w:rsidRDefault="00284B3B" w:rsidP="00071821">
            <w:pPr>
              <w:pStyle w:val="ChartSubtitle"/>
              <w:rPr>
                <w:color w:val="auto"/>
                <w:sz w:val="22"/>
              </w:rPr>
            </w:pPr>
            <w:r w:rsidRPr="00093637">
              <w:rPr>
                <w:color w:val="auto"/>
                <w:sz w:val="22"/>
              </w:rPr>
              <w:t xml:space="preserve">• Staff will receive training or a refresher on the PSR and will help eligible households through the registration process. </w:t>
            </w:r>
          </w:p>
          <w:p w14:paraId="56809BE1" w14:textId="77777777" w:rsidR="00A4434E" w:rsidRPr="00093637" w:rsidRDefault="00284B3B" w:rsidP="00071821">
            <w:pPr>
              <w:pStyle w:val="ChartSubtitle"/>
              <w:rPr>
                <w:color w:val="auto"/>
                <w:sz w:val="22"/>
              </w:rPr>
            </w:pPr>
            <w:r w:rsidRPr="00093637">
              <w:rPr>
                <w:color w:val="auto"/>
                <w:sz w:val="22"/>
              </w:rPr>
              <w:t xml:space="preserve">• Staff will receive training or a refresher on CO awareness and general gas safety awareness. </w:t>
            </w:r>
          </w:p>
          <w:p w14:paraId="2CC8743E" w14:textId="035106DA" w:rsidR="00284B3B" w:rsidRPr="00093637" w:rsidRDefault="00284B3B" w:rsidP="00071821">
            <w:pPr>
              <w:pStyle w:val="ChartSubtitle"/>
              <w:rPr>
                <w:color w:val="auto"/>
                <w:sz w:val="22"/>
              </w:rPr>
            </w:pPr>
            <w:r w:rsidRPr="00093637">
              <w:rPr>
                <w:color w:val="auto"/>
                <w:sz w:val="22"/>
              </w:rPr>
              <w:t>• Staff will support and signpost individuals to help claim benefits and welfare support to ensure income maximisation.</w:t>
            </w:r>
          </w:p>
          <w:p w14:paraId="6994225C" w14:textId="77777777" w:rsidR="00A9003E" w:rsidRPr="00093637" w:rsidRDefault="00A9003E" w:rsidP="00071821">
            <w:pPr>
              <w:pStyle w:val="ChartSubtitle"/>
              <w:rPr>
                <w:rFonts w:cstheme="minorHAnsi"/>
                <w:color w:val="auto"/>
                <w:sz w:val="22"/>
              </w:rPr>
            </w:pPr>
          </w:p>
          <w:p w14:paraId="308858BB" w14:textId="77777777" w:rsidR="00A9003E" w:rsidRPr="00093637" w:rsidRDefault="00A9003E" w:rsidP="00071821">
            <w:pPr>
              <w:pStyle w:val="ChartSubtitle"/>
              <w:rPr>
                <w:rFonts w:cstheme="minorHAnsi"/>
                <w:color w:val="auto"/>
                <w:sz w:val="22"/>
                <w:u w:val="single"/>
              </w:rPr>
            </w:pPr>
            <w:r w:rsidRPr="00093637">
              <w:rPr>
                <w:rFonts w:cstheme="minorHAnsi"/>
                <w:color w:val="auto"/>
                <w:sz w:val="22"/>
                <w:u w:val="single"/>
              </w:rPr>
              <w:t xml:space="preserve">Success Criteria: </w:t>
            </w:r>
          </w:p>
          <w:p w14:paraId="44DDE2DE" w14:textId="77777777" w:rsidR="00653687" w:rsidRPr="00093637" w:rsidRDefault="00653687" w:rsidP="00071821">
            <w:pPr>
              <w:pStyle w:val="ChartSubtitle"/>
              <w:rPr>
                <w:rFonts w:cstheme="minorHAnsi"/>
                <w:color w:val="auto"/>
                <w:sz w:val="22"/>
                <w:u w:val="single"/>
              </w:rPr>
            </w:pPr>
          </w:p>
          <w:p w14:paraId="6246F175" w14:textId="76B72B4A" w:rsidR="00653687" w:rsidRPr="00093637" w:rsidRDefault="00653687" w:rsidP="00653687">
            <w:pPr>
              <w:pStyle w:val="ChartSubtitle"/>
              <w:tabs>
                <w:tab w:val="left" w:pos="2170"/>
              </w:tabs>
              <w:jc w:val="both"/>
              <w:rPr>
                <w:color w:val="auto"/>
                <w:sz w:val="22"/>
              </w:rPr>
            </w:pPr>
            <w:r w:rsidRPr="00093637">
              <w:rPr>
                <w:color w:val="auto"/>
                <w:sz w:val="22"/>
              </w:rPr>
              <w:t>The success of the project will be measured by meeting the below criteria:</w:t>
            </w:r>
          </w:p>
          <w:p w14:paraId="2E50BF83" w14:textId="77777777" w:rsidR="00F32BB3" w:rsidRPr="00093637" w:rsidRDefault="00F32BB3" w:rsidP="00653687">
            <w:pPr>
              <w:pStyle w:val="ChartSubtitle"/>
              <w:tabs>
                <w:tab w:val="left" w:pos="2170"/>
              </w:tabs>
              <w:jc w:val="both"/>
              <w:rPr>
                <w:color w:val="auto"/>
                <w:sz w:val="22"/>
              </w:rPr>
            </w:pPr>
          </w:p>
          <w:tbl>
            <w:tblPr>
              <w:tblW w:w="8188" w:type="dxa"/>
              <w:tblLook w:val="04A0" w:firstRow="1" w:lastRow="0" w:firstColumn="1" w:lastColumn="0" w:noHBand="0" w:noVBand="1"/>
            </w:tblPr>
            <w:tblGrid>
              <w:gridCol w:w="2095"/>
              <w:gridCol w:w="1884"/>
              <w:gridCol w:w="1364"/>
              <w:gridCol w:w="1393"/>
              <w:gridCol w:w="1452"/>
            </w:tblGrid>
            <w:tr w:rsidR="00093637" w:rsidRPr="00093637" w14:paraId="04765F06" w14:textId="77777777" w:rsidTr="00635853">
              <w:trPr>
                <w:trHeight w:val="300"/>
              </w:trPr>
              <w:tc>
                <w:tcPr>
                  <w:tcW w:w="2095" w:type="dxa"/>
                  <w:vMerge w:val="restart"/>
                  <w:tcBorders>
                    <w:top w:val="single" w:sz="8" w:space="0" w:color="000000"/>
                    <w:left w:val="single" w:sz="8" w:space="0" w:color="000000"/>
                    <w:bottom w:val="single" w:sz="8" w:space="0" w:color="000000"/>
                    <w:right w:val="nil"/>
                  </w:tcBorders>
                  <w:shd w:val="clear" w:color="000000" w:fill="FFFFFF"/>
                  <w:vAlign w:val="center"/>
                  <w:hideMark/>
                </w:tcPr>
                <w:p w14:paraId="25CCA12F"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Overview All GDNs</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3650424B"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Cadent Regions</w:t>
                  </w:r>
                </w:p>
              </w:tc>
              <w:tc>
                <w:tcPr>
                  <w:tcW w:w="1364" w:type="dxa"/>
                  <w:tcBorders>
                    <w:top w:val="single" w:sz="8" w:space="0" w:color="000000"/>
                    <w:left w:val="nil"/>
                    <w:bottom w:val="nil"/>
                    <w:right w:val="nil"/>
                  </w:tcBorders>
                  <w:shd w:val="clear" w:color="000000" w:fill="FFFFFF"/>
                  <w:noWrap/>
                  <w:vAlign w:val="center"/>
                  <w:hideMark/>
                </w:tcPr>
                <w:p w14:paraId="400C1641"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SGN Regions </w:t>
                  </w:r>
                </w:p>
              </w:tc>
              <w:tc>
                <w:tcPr>
                  <w:tcW w:w="1393" w:type="dxa"/>
                  <w:tcBorders>
                    <w:top w:val="single" w:sz="8" w:space="0" w:color="000000"/>
                    <w:left w:val="single" w:sz="4" w:space="0" w:color="auto"/>
                    <w:bottom w:val="nil"/>
                    <w:right w:val="nil"/>
                  </w:tcBorders>
                  <w:shd w:val="clear" w:color="000000" w:fill="FFFFFF"/>
                  <w:noWrap/>
                  <w:vAlign w:val="center"/>
                  <w:hideMark/>
                </w:tcPr>
                <w:p w14:paraId="2ABEA1BE"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WWU Regions </w:t>
                  </w:r>
                </w:p>
              </w:tc>
              <w:tc>
                <w:tcPr>
                  <w:tcW w:w="1452"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E4FBF9A"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Overall </w:t>
                  </w:r>
                </w:p>
              </w:tc>
            </w:tr>
            <w:tr w:rsidR="00093637" w:rsidRPr="00093637" w14:paraId="033E1C22" w14:textId="77777777" w:rsidTr="00635853">
              <w:trPr>
                <w:trHeight w:val="300"/>
              </w:trPr>
              <w:tc>
                <w:tcPr>
                  <w:tcW w:w="2095" w:type="dxa"/>
                  <w:vMerge/>
                  <w:tcBorders>
                    <w:top w:val="single" w:sz="8" w:space="0" w:color="000000"/>
                    <w:left w:val="single" w:sz="8" w:space="0" w:color="000000"/>
                    <w:bottom w:val="single" w:sz="8" w:space="0" w:color="000000"/>
                    <w:right w:val="nil"/>
                  </w:tcBorders>
                  <w:vAlign w:val="center"/>
                  <w:hideMark/>
                </w:tcPr>
                <w:p w14:paraId="4C282832" w14:textId="77777777" w:rsidR="00CC28C0" w:rsidRPr="00CB20A5" w:rsidRDefault="00CC28C0" w:rsidP="00CC28C0">
                  <w:pPr>
                    <w:spacing w:line="240" w:lineRule="auto"/>
                    <w:rPr>
                      <w:rFonts w:eastAsia="Times New Roman" w:cstheme="minorHAnsi"/>
                      <w:b/>
                      <w:bCs/>
                      <w:color w:val="auto"/>
                      <w:sz w:val="16"/>
                      <w:szCs w:val="16"/>
                      <w:lang w:eastAsia="en-GB"/>
                    </w:rPr>
                  </w:pPr>
                </w:p>
              </w:tc>
              <w:tc>
                <w:tcPr>
                  <w:tcW w:w="1884" w:type="dxa"/>
                  <w:tcBorders>
                    <w:top w:val="nil"/>
                    <w:left w:val="single" w:sz="8" w:space="0" w:color="000000"/>
                    <w:bottom w:val="single" w:sz="8" w:space="0" w:color="000000"/>
                    <w:right w:val="nil"/>
                  </w:tcBorders>
                  <w:shd w:val="clear" w:color="000000" w:fill="FFFFFF"/>
                  <w:noWrap/>
                  <w:vAlign w:val="center"/>
                  <w:hideMark/>
                </w:tcPr>
                <w:p w14:paraId="3B9AD6CA" w14:textId="77777777" w:rsidR="00CC28C0" w:rsidRPr="00CB20A5" w:rsidRDefault="00CC28C0" w:rsidP="00CC28C0">
                  <w:pPr>
                    <w:spacing w:line="240" w:lineRule="auto"/>
                    <w:jc w:val="center"/>
                    <w:rPr>
                      <w:rFonts w:eastAsia="Times New Roman" w:cstheme="minorHAnsi"/>
                      <w:b/>
                      <w:bCs/>
                      <w:color w:val="auto"/>
                      <w:sz w:val="16"/>
                      <w:szCs w:val="16"/>
                      <w:lang w:eastAsia="en-GB"/>
                    </w:rPr>
                  </w:pPr>
                  <w:r w:rsidRPr="00CB20A5">
                    <w:rPr>
                      <w:rFonts w:eastAsia="Times New Roman" w:cstheme="minorHAnsi"/>
                      <w:b/>
                      <w:bCs/>
                      <w:color w:val="auto"/>
                      <w:sz w:val="16"/>
                      <w:szCs w:val="16"/>
                      <w:lang w:eastAsia="en-GB"/>
                    </w:rPr>
                    <w:t xml:space="preserve">Total reach (annual) </w:t>
                  </w:r>
                </w:p>
              </w:tc>
              <w:tc>
                <w:tcPr>
                  <w:tcW w:w="1364" w:type="dxa"/>
                  <w:tcBorders>
                    <w:top w:val="single" w:sz="8" w:space="0" w:color="000000"/>
                    <w:left w:val="single" w:sz="8" w:space="0" w:color="000000"/>
                    <w:bottom w:val="single" w:sz="8" w:space="0" w:color="000000"/>
                    <w:right w:val="single" w:sz="4" w:space="0" w:color="auto"/>
                  </w:tcBorders>
                  <w:shd w:val="clear" w:color="000000" w:fill="FFFFFF"/>
                  <w:noWrap/>
                  <w:vAlign w:val="center"/>
                  <w:hideMark/>
                </w:tcPr>
                <w:p w14:paraId="3E2EC7F1" w14:textId="77777777" w:rsidR="00CC28C0" w:rsidRPr="00CB20A5" w:rsidRDefault="00CC28C0" w:rsidP="00CC28C0">
                  <w:pPr>
                    <w:spacing w:line="240" w:lineRule="auto"/>
                    <w:jc w:val="center"/>
                    <w:rPr>
                      <w:rFonts w:eastAsia="Times New Roman" w:cstheme="minorHAnsi"/>
                      <w:b/>
                      <w:bCs/>
                      <w:color w:val="auto"/>
                      <w:sz w:val="16"/>
                      <w:szCs w:val="16"/>
                      <w:lang w:eastAsia="en-GB"/>
                    </w:rPr>
                  </w:pPr>
                  <w:r w:rsidRPr="00CB20A5">
                    <w:rPr>
                      <w:rFonts w:eastAsia="Times New Roman" w:cstheme="minorHAnsi"/>
                      <w:b/>
                      <w:bCs/>
                      <w:color w:val="auto"/>
                      <w:sz w:val="16"/>
                      <w:szCs w:val="16"/>
                      <w:lang w:eastAsia="en-GB"/>
                    </w:rPr>
                    <w:t xml:space="preserve">Total Reach (annual) </w:t>
                  </w:r>
                </w:p>
              </w:tc>
              <w:tc>
                <w:tcPr>
                  <w:tcW w:w="1393" w:type="dxa"/>
                  <w:tcBorders>
                    <w:top w:val="single" w:sz="8" w:space="0" w:color="000000"/>
                    <w:left w:val="single" w:sz="8" w:space="0" w:color="000000"/>
                    <w:bottom w:val="single" w:sz="8" w:space="0" w:color="000000"/>
                    <w:right w:val="single" w:sz="4" w:space="0" w:color="auto"/>
                  </w:tcBorders>
                  <w:shd w:val="clear" w:color="000000" w:fill="FFFFFF"/>
                  <w:noWrap/>
                  <w:vAlign w:val="center"/>
                  <w:hideMark/>
                </w:tcPr>
                <w:p w14:paraId="23B94A1C" w14:textId="77777777" w:rsidR="00CC28C0" w:rsidRPr="00CB20A5" w:rsidRDefault="00CC28C0" w:rsidP="00CC28C0">
                  <w:pPr>
                    <w:spacing w:line="240" w:lineRule="auto"/>
                    <w:jc w:val="center"/>
                    <w:rPr>
                      <w:rFonts w:eastAsia="Times New Roman" w:cstheme="minorHAnsi"/>
                      <w:b/>
                      <w:bCs/>
                      <w:color w:val="auto"/>
                      <w:sz w:val="16"/>
                      <w:szCs w:val="16"/>
                      <w:lang w:eastAsia="en-GB"/>
                    </w:rPr>
                  </w:pPr>
                  <w:r w:rsidRPr="00CB20A5">
                    <w:rPr>
                      <w:rFonts w:eastAsia="Times New Roman" w:cstheme="minorHAnsi"/>
                      <w:b/>
                      <w:bCs/>
                      <w:color w:val="auto"/>
                      <w:sz w:val="16"/>
                      <w:szCs w:val="16"/>
                      <w:lang w:eastAsia="en-GB"/>
                    </w:rPr>
                    <w:t xml:space="preserve">Total Reach (annual) </w:t>
                  </w:r>
                </w:p>
              </w:tc>
              <w:tc>
                <w:tcPr>
                  <w:tcW w:w="1452" w:type="dxa"/>
                  <w:tcBorders>
                    <w:top w:val="nil"/>
                    <w:left w:val="nil"/>
                    <w:bottom w:val="single" w:sz="8" w:space="0" w:color="000000"/>
                    <w:right w:val="single" w:sz="8" w:space="0" w:color="000000"/>
                  </w:tcBorders>
                  <w:shd w:val="clear" w:color="000000" w:fill="FFFFFF"/>
                  <w:noWrap/>
                  <w:vAlign w:val="center"/>
                  <w:hideMark/>
                </w:tcPr>
                <w:p w14:paraId="165CDAAF"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Total reach (annual) </w:t>
                  </w:r>
                </w:p>
              </w:tc>
            </w:tr>
            <w:tr w:rsidR="00093637" w:rsidRPr="00093637" w14:paraId="4343469A" w14:textId="77777777" w:rsidTr="00635853">
              <w:trPr>
                <w:trHeight w:val="290"/>
              </w:trPr>
              <w:tc>
                <w:tcPr>
                  <w:tcW w:w="2095" w:type="dxa"/>
                  <w:tcBorders>
                    <w:top w:val="nil"/>
                    <w:left w:val="single" w:sz="8" w:space="0" w:color="auto"/>
                    <w:bottom w:val="single" w:sz="4" w:space="0" w:color="auto"/>
                    <w:right w:val="nil"/>
                  </w:tcBorders>
                  <w:shd w:val="clear" w:color="000000" w:fill="A6A6A6"/>
                  <w:noWrap/>
                  <w:vAlign w:val="center"/>
                  <w:hideMark/>
                </w:tcPr>
                <w:p w14:paraId="00C9EC71"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Number of YMCAs</w:t>
                  </w:r>
                </w:p>
              </w:tc>
              <w:tc>
                <w:tcPr>
                  <w:tcW w:w="1884" w:type="dxa"/>
                  <w:tcBorders>
                    <w:top w:val="nil"/>
                    <w:left w:val="single" w:sz="8" w:space="0" w:color="000000"/>
                    <w:bottom w:val="single" w:sz="4" w:space="0" w:color="auto"/>
                    <w:right w:val="nil"/>
                  </w:tcBorders>
                  <w:shd w:val="clear" w:color="000000" w:fill="A6A6A6"/>
                  <w:noWrap/>
                  <w:vAlign w:val="center"/>
                  <w:hideMark/>
                </w:tcPr>
                <w:p w14:paraId="5D806559"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21BCDDF2"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659B52B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12C24E5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24665C00" w14:textId="77777777" w:rsidTr="00635853">
              <w:trPr>
                <w:trHeight w:val="840"/>
              </w:trPr>
              <w:tc>
                <w:tcPr>
                  <w:tcW w:w="2095" w:type="dxa"/>
                  <w:tcBorders>
                    <w:top w:val="nil"/>
                    <w:left w:val="single" w:sz="8" w:space="0" w:color="auto"/>
                    <w:bottom w:val="single" w:sz="4" w:space="0" w:color="auto"/>
                    <w:right w:val="nil"/>
                  </w:tcBorders>
                  <w:shd w:val="clear" w:color="000000" w:fill="FFFFFF"/>
                  <w:vAlign w:val="center"/>
                  <w:hideMark/>
                </w:tcPr>
                <w:p w14:paraId="06F85F3C"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lastRenderedPageBreak/>
                    <w:t xml:space="preserve">Number of YMCAs joining the project in each GDN network region </w:t>
                  </w:r>
                </w:p>
              </w:tc>
              <w:tc>
                <w:tcPr>
                  <w:tcW w:w="1884" w:type="dxa"/>
                  <w:tcBorders>
                    <w:top w:val="nil"/>
                    <w:left w:val="single" w:sz="8" w:space="0" w:color="000000"/>
                    <w:bottom w:val="single" w:sz="4" w:space="0" w:color="auto"/>
                    <w:right w:val="nil"/>
                  </w:tcBorders>
                  <w:shd w:val="clear" w:color="auto" w:fill="auto"/>
                  <w:noWrap/>
                  <w:vAlign w:val="center"/>
                  <w:hideMark/>
                </w:tcPr>
                <w:p w14:paraId="016A39B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32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633609A9"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35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2B1D77D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11 </w:t>
                  </w:r>
                </w:p>
              </w:tc>
              <w:tc>
                <w:tcPr>
                  <w:tcW w:w="1452" w:type="dxa"/>
                  <w:tcBorders>
                    <w:top w:val="nil"/>
                    <w:left w:val="nil"/>
                    <w:bottom w:val="single" w:sz="4" w:space="0" w:color="000000"/>
                    <w:right w:val="single" w:sz="8" w:space="0" w:color="000000"/>
                  </w:tcBorders>
                  <w:shd w:val="clear" w:color="000000" w:fill="FFFFFF"/>
                  <w:noWrap/>
                  <w:vAlign w:val="center"/>
                  <w:hideMark/>
                </w:tcPr>
                <w:p w14:paraId="248BDB3C"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78 </w:t>
                  </w:r>
                </w:p>
              </w:tc>
            </w:tr>
            <w:tr w:rsidR="00093637" w:rsidRPr="00093637" w14:paraId="5E66C81A" w14:textId="77777777" w:rsidTr="00635853">
              <w:trPr>
                <w:trHeight w:val="250"/>
              </w:trPr>
              <w:tc>
                <w:tcPr>
                  <w:tcW w:w="2095" w:type="dxa"/>
                  <w:tcBorders>
                    <w:top w:val="nil"/>
                    <w:left w:val="single" w:sz="8" w:space="0" w:color="auto"/>
                    <w:bottom w:val="single" w:sz="4" w:space="0" w:color="auto"/>
                    <w:right w:val="nil"/>
                  </w:tcBorders>
                  <w:shd w:val="clear" w:color="000000" w:fill="A6A6A6"/>
                  <w:noWrap/>
                  <w:vAlign w:val="center"/>
                  <w:hideMark/>
                </w:tcPr>
                <w:p w14:paraId="05E41F41"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Information Distribution</w:t>
                  </w:r>
                </w:p>
              </w:tc>
              <w:tc>
                <w:tcPr>
                  <w:tcW w:w="1884" w:type="dxa"/>
                  <w:tcBorders>
                    <w:top w:val="nil"/>
                    <w:left w:val="single" w:sz="8" w:space="0" w:color="000000"/>
                    <w:bottom w:val="single" w:sz="4" w:space="0" w:color="auto"/>
                    <w:right w:val="nil"/>
                  </w:tcBorders>
                  <w:shd w:val="clear" w:color="000000" w:fill="A6A6A6"/>
                  <w:noWrap/>
                  <w:vAlign w:val="center"/>
                  <w:hideMark/>
                </w:tcPr>
                <w:p w14:paraId="1B8FBD62"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746117FD"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4BE23860"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40999145"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391CC708" w14:textId="77777777" w:rsidTr="00635853">
              <w:trPr>
                <w:trHeight w:val="1190"/>
              </w:trPr>
              <w:tc>
                <w:tcPr>
                  <w:tcW w:w="2095" w:type="dxa"/>
                  <w:tcBorders>
                    <w:top w:val="nil"/>
                    <w:left w:val="single" w:sz="8" w:space="0" w:color="auto"/>
                    <w:bottom w:val="single" w:sz="4" w:space="0" w:color="auto"/>
                    <w:right w:val="nil"/>
                  </w:tcBorders>
                  <w:shd w:val="clear" w:color="000000" w:fill="FFFFFF"/>
                  <w:vAlign w:val="center"/>
                  <w:hideMark/>
                </w:tcPr>
                <w:p w14:paraId="28176497" w14:textId="09FCD573"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No. of </w:t>
                  </w:r>
                  <w:r w:rsidR="00184EFF" w:rsidRPr="00093637">
                    <w:rPr>
                      <w:rFonts w:eastAsia="Times New Roman" w:cstheme="minorHAnsi"/>
                      <w:color w:val="auto"/>
                      <w:sz w:val="16"/>
                      <w:szCs w:val="16"/>
                      <w:lang w:eastAsia="en-GB"/>
                    </w:rPr>
                    <w:t>households</w:t>
                  </w:r>
                  <w:r w:rsidRPr="00093637">
                    <w:rPr>
                      <w:rFonts w:eastAsia="Times New Roman" w:cstheme="minorHAnsi"/>
                      <w:color w:val="auto"/>
                      <w:sz w:val="16"/>
                      <w:szCs w:val="16"/>
                      <w:lang w:eastAsia="en-GB"/>
                    </w:rPr>
                    <w:t>/people receiving CO, PSR, energy safety and efficiency</w:t>
                  </w:r>
                  <w:r w:rsidR="00184EFF" w:rsidRPr="00093637">
                    <w:rPr>
                      <w:rFonts w:eastAsia="Times New Roman" w:cstheme="minorHAnsi"/>
                      <w:color w:val="auto"/>
                      <w:sz w:val="16"/>
                      <w:szCs w:val="16"/>
                      <w:lang w:eastAsia="en-GB"/>
                    </w:rPr>
                    <w:t>,</w:t>
                  </w:r>
                  <w:r w:rsidRPr="00093637">
                    <w:rPr>
                      <w:rFonts w:eastAsia="Times New Roman" w:cstheme="minorHAnsi"/>
                      <w:color w:val="auto"/>
                      <w:sz w:val="16"/>
                      <w:szCs w:val="16"/>
                      <w:lang w:eastAsia="en-GB"/>
                    </w:rPr>
                    <w:t xml:space="preserve"> and income maximisation related advice</w:t>
                  </w:r>
                  <w:r w:rsidR="00093637" w:rsidRPr="00093637">
                    <w:rPr>
                      <w:rFonts w:eastAsia="Times New Roman" w:cstheme="minorHAnsi"/>
                      <w:color w:val="auto"/>
                      <w:sz w:val="16"/>
                      <w:szCs w:val="16"/>
                      <w:lang w:eastAsia="en-GB"/>
                    </w:rPr>
                    <w:t xml:space="preserve"> </w:t>
                  </w:r>
                  <w:r w:rsidRPr="00093637">
                    <w:rPr>
                      <w:rFonts w:eastAsia="Times New Roman" w:cstheme="minorHAnsi"/>
                      <w:color w:val="auto"/>
                      <w:sz w:val="16"/>
                      <w:szCs w:val="16"/>
                      <w:lang w:eastAsia="en-GB"/>
                    </w:rPr>
                    <w:t>(via hard copy)</w:t>
                  </w:r>
                </w:p>
              </w:tc>
              <w:tc>
                <w:tcPr>
                  <w:tcW w:w="1884" w:type="dxa"/>
                  <w:tcBorders>
                    <w:top w:val="nil"/>
                    <w:left w:val="single" w:sz="8" w:space="0" w:color="000000"/>
                    <w:bottom w:val="single" w:sz="4" w:space="0" w:color="auto"/>
                    <w:right w:val="nil"/>
                  </w:tcBorders>
                  <w:shd w:val="clear" w:color="auto" w:fill="auto"/>
                  <w:noWrap/>
                  <w:vAlign w:val="center"/>
                  <w:hideMark/>
                </w:tcPr>
                <w:p w14:paraId="247AB1D9"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1205A62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43,500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7DC300B9"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18,900 </w:t>
                  </w:r>
                </w:p>
              </w:tc>
              <w:tc>
                <w:tcPr>
                  <w:tcW w:w="1452" w:type="dxa"/>
                  <w:tcBorders>
                    <w:top w:val="nil"/>
                    <w:left w:val="nil"/>
                    <w:bottom w:val="single" w:sz="4" w:space="0" w:color="000000"/>
                    <w:right w:val="single" w:sz="8" w:space="0" w:color="000000"/>
                  </w:tcBorders>
                  <w:shd w:val="clear" w:color="000000" w:fill="FFFFFF"/>
                  <w:noWrap/>
                  <w:vAlign w:val="center"/>
                  <w:hideMark/>
                </w:tcPr>
                <w:p w14:paraId="3CFFB70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62,400 </w:t>
                  </w:r>
                </w:p>
              </w:tc>
            </w:tr>
            <w:tr w:rsidR="00093637" w:rsidRPr="00093637" w14:paraId="63C0ECA2" w14:textId="77777777" w:rsidTr="00635853">
              <w:trPr>
                <w:trHeight w:val="250"/>
              </w:trPr>
              <w:tc>
                <w:tcPr>
                  <w:tcW w:w="2095" w:type="dxa"/>
                  <w:tcBorders>
                    <w:top w:val="nil"/>
                    <w:left w:val="single" w:sz="8" w:space="0" w:color="auto"/>
                    <w:bottom w:val="single" w:sz="4" w:space="0" w:color="auto"/>
                    <w:right w:val="nil"/>
                  </w:tcBorders>
                  <w:shd w:val="clear" w:color="000000" w:fill="A6A6A6"/>
                  <w:vAlign w:val="center"/>
                  <w:hideMark/>
                </w:tcPr>
                <w:p w14:paraId="200C48B0"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Staff Training</w:t>
                  </w:r>
                </w:p>
              </w:tc>
              <w:tc>
                <w:tcPr>
                  <w:tcW w:w="1884" w:type="dxa"/>
                  <w:tcBorders>
                    <w:top w:val="nil"/>
                    <w:left w:val="single" w:sz="8" w:space="0" w:color="000000"/>
                    <w:bottom w:val="single" w:sz="4" w:space="0" w:color="auto"/>
                    <w:right w:val="nil"/>
                  </w:tcBorders>
                  <w:shd w:val="clear" w:color="000000" w:fill="A6A6A6"/>
                  <w:noWrap/>
                  <w:vAlign w:val="center"/>
                  <w:hideMark/>
                </w:tcPr>
                <w:p w14:paraId="124D460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398550D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4A7A319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4CCCB176"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7C6E01E3" w14:textId="77777777" w:rsidTr="00635853">
              <w:trPr>
                <w:trHeight w:val="1010"/>
              </w:trPr>
              <w:tc>
                <w:tcPr>
                  <w:tcW w:w="2095" w:type="dxa"/>
                  <w:tcBorders>
                    <w:top w:val="nil"/>
                    <w:left w:val="single" w:sz="8" w:space="0" w:color="auto"/>
                    <w:bottom w:val="single" w:sz="4" w:space="0" w:color="auto"/>
                    <w:right w:val="nil"/>
                  </w:tcBorders>
                  <w:shd w:val="clear" w:color="000000" w:fill="FFFFFF"/>
                  <w:vAlign w:val="center"/>
                  <w:hideMark/>
                </w:tcPr>
                <w:p w14:paraId="7B42EAD9" w14:textId="5393F6B1"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staff trained on topics of CO, PSR, energy safety and efficiency</w:t>
                  </w:r>
                  <w:r w:rsidR="00DA4517" w:rsidRPr="00093637">
                    <w:rPr>
                      <w:rFonts w:eastAsia="Times New Roman" w:cstheme="minorHAnsi"/>
                      <w:color w:val="auto"/>
                      <w:sz w:val="16"/>
                      <w:szCs w:val="16"/>
                      <w:lang w:eastAsia="en-GB"/>
                    </w:rPr>
                    <w:t>,</w:t>
                  </w:r>
                  <w:r w:rsidRPr="00093637">
                    <w:rPr>
                      <w:rFonts w:eastAsia="Times New Roman" w:cstheme="minorHAnsi"/>
                      <w:color w:val="auto"/>
                      <w:sz w:val="16"/>
                      <w:szCs w:val="16"/>
                      <w:lang w:eastAsia="en-GB"/>
                    </w:rPr>
                    <w:t xml:space="preserve"> and income maximisation</w:t>
                  </w:r>
                </w:p>
              </w:tc>
              <w:tc>
                <w:tcPr>
                  <w:tcW w:w="1884" w:type="dxa"/>
                  <w:tcBorders>
                    <w:top w:val="nil"/>
                    <w:left w:val="single" w:sz="8" w:space="0" w:color="000000"/>
                    <w:bottom w:val="single" w:sz="4" w:space="0" w:color="auto"/>
                    <w:right w:val="nil"/>
                  </w:tcBorders>
                  <w:shd w:val="clear" w:color="auto" w:fill="auto"/>
                  <w:noWrap/>
                  <w:vAlign w:val="center"/>
                  <w:hideMark/>
                </w:tcPr>
                <w:p w14:paraId="51388B88"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014DAE4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105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1C22E94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33 </w:t>
                  </w:r>
                </w:p>
              </w:tc>
              <w:tc>
                <w:tcPr>
                  <w:tcW w:w="1452" w:type="dxa"/>
                  <w:tcBorders>
                    <w:top w:val="nil"/>
                    <w:left w:val="nil"/>
                    <w:bottom w:val="single" w:sz="4" w:space="0" w:color="000000"/>
                    <w:right w:val="single" w:sz="8" w:space="0" w:color="000000"/>
                  </w:tcBorders>
                  <w:shd w:val="clear" w:color="000000" w:fill="FFFFFF"/>
                  <w:noWrap/>
                  <w:vAlign w:val="center"/>
                  <w:hideMark/>
                </w:tcPr>
                <w:p w14:paraId="025B1CD6"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138 </w:t>
                  </w:r>
                </w:p>
              </w:tc>
            </w:tr>
            <w:tr w:rsidR="00093637" w:rsidRPr="00093637" w14:paraId="0860CB0D" w14:textId="77777777" w:rsidTr="00635853">
              <w:trPr>
                <w:trHeight w:val="290"/>
              </w:trPr>
              <w:tc>
                <w:tcPr>
                  <w:tcW w:w="2095" w:type="dxa"/>
                  <w:tcBorders>
                    <w:top w:val="nil"/>
                    <w:left w:val="single" w:sz="8" w:space="0" w:color="auto"/>
                    <w:bottom w:val="single" w:sz="4" w:space="0" w:color="auto"/>
                    <w:right w:val="nil"/>
                  </w:tcBorders>
                  <w:shd w:val="clear" w:color="000000" w:fill="A6A6A6"/>
                  <w:vAlign w:val="center"/>
                  <w:hideMark/>
                </w:tcPr>
                <w:p w14:paraId="234B563F"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Benefits &amp; Welfare </w:t>
                  </w:r>
                </w:p>
              </w:tc>
              <w:tc>
                <w:tcPr>
                  <w:tcW w:w="1884" w:type="dxa"/>
                  <w:tcBorders>
                    <w:top w:val="nil"/>
                    <w:left w:val="single" w:sz="8" w:space="0" w:color="000000"/>
                    <w:bottom w:val="single" w:sz="4" w:space="0" w:color="auto"/>
                    <w:right w:val="nil"/>
                  </w:tcBorders>
                  <w:shd w:val="clear" w:color="000000" w:fill="A6A6A6"/>
                  <w:noWrap/>
                  <w:vAlign w:val="center"/>
                  <w:hideMark/>
                </w:tcPr>
                <w:p w14:paraId="1C38698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3B364F0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2D832666"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1B64E2E2"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0A9B4A93" w14:textId="77777777" w:rsidTr="00635853">
              <w:trPr>
                <w:trHeight w:val="730"/>
              </w:trPr>
              <w:tc>
                <w:tcPr>
                  <w:tcW w:w="2095" w:type="dxa"/>
                  <w:tcBorders>
                    <w:top w:val="nil"/>
                    <w:left w:val="single" w:sz="8" w:space="0" w:color="auto"/>
                    <w:bottom w:val="single" w:sz="4" w:space="0" w:color="auto"/>
                    <w:right w:val="nil"/>
                  </w:tcBorders>
                  <w:shd w:val="clear" w:color="000000" w:fill="FFFFFF"/>
                  <w:vAlign w:val="center"/>
                  <w:hideMark/>
                </w:tcPr>
                <w:p w14:paraId="045A6820"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benefits and welfare support</w:t>
                  </w:r>
                </w:p>
              </w:tc>
              <w:tc>
                <w:tcPr>
                  <w:tcW w:w="1884" w:type="dxa"/>
                  <w:tcBorders>
                    <w:top w:val="nil"/>
                    <w:left w:val="single" w:sz="8" w:space="0" w:color="000000"/>
                    <w:bottom w:val="single" w:sz="4" w:space="0" w:color="auto"/>
                    <w:right w:val="nil"/>
                  </w:tcBorders>
                  <w:shd w:val="clear" w:color="auto" w:fill="auto"/>
                  <w:noWrap/>
                  <w:vAlign w:val="center"/>
                  <w:hideMark/>
                </w:tcPr>
                <w:p w14:paraId="1B594228"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12,660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4A4BCAA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5,498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58AA458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3,584 </w:t>
                  </w:r>
                </w:p>
              </w:tc>
              <w:tc>
                <w:tcPr>
                  <w:tcW w:w="1452" w:type="dxa"/>
                  <w:tcBorders>
                    <w:top w:val="nil"/>
                    <w:left w:val="nil"/>
                    <w:bottom w:val="single" w:sz="4" w:space="0" w:color="000000"/>
                    <w:right w:val="single" w:sz="8" w:space="0" w:color="000000"/>
                  </w:tcBorders>
                  <w:shd w:val="clear" w:color="000000" w:fill="FFFFFF"/>
                  <w:noWrap/>
                  <w:vAlign w:val="center"/>
                  <w:hideMark/>
                </w:tcPr>
                <w:p w14:paraId="173941B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21,742 </w:t>
                  </w:r>
                </w:p>
              </w:tc>
            </w:tr>
            <w:tr w:rsidR="00093637" w:rsidRPr="00093637" w14:paraId="43634386" w14:textId="77777777" w:rsidTr="00635853">
              <w:trPr>
                <w:trHeight w:val="290"/>
              </w:trPr>
              <w:tc>
                <w:tcPr>
                  <w:tcW w:w="2095" w:type="dxa"/>
                  <w:tcBorders>
                    <w:top w:val="nil"/>
                    <w:left w:val="single" w:sz="8" w:space="0" w:color="auto"/>
                    <w:bottom w:val="single" w:sz="4" w:space="0" w:color="auto"/>
                    <w:right w:val="nil"/>
                  </w:tcBorders>
                  <w:shd w:val="clear" w:color="000000" w:fill="A6A6A6"/>
                  <w:vAlign w:val="center"/>
                  <w:hideMark/>
                </w:tcPr>
                <w:p w14:paraId="0288A041"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Health and Wellbeing</w:t>
                  </w:r>
                </w:p>
              </w:tc>
              <w:tc>
                <w:tcPr>
                  <w:tcW w:w="1884" w:type="dxa"/>
                  <w:tcBorders>
                    <w:top w:val="nil"/>
                    <w:left w:val="single" w:sz="8" w:space="0" w:color="000000"/>
                    <w:bottom w:val="single" w:sz="4" w:space="0" w:color="auto"/>
                    <w:right w:val="nil"/>
                  </w:tcBorders>
                  <w:shd w:val="clear" w:color="000000" w:fill="A6A6A6"/>
                  <w:noWrap/>
                  <w:vAlign w:val="center"/>
                  <w:hideMark/>
                </w:tcPr>
                <w:p w14:paraId="4E788F9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0229739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0B454420"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7B533D4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539C034C" w14:textId="77777777" w:rsidTr="00635853">
              <w:trPr>
                <w:trHeight w:val="600"/>
              </w:trPr>
              <w:tc>
                <w:tcPr>
                  <w:tcW w:w="2095" w:type="dxa"/>
                  <w:tcBorders>
                    <w:top w:val="nil"/>
                    <w:left w:val="single" w:sz="8" w:space="0" w:color="auto"/>
                    <w:bottom w:val="single" w:sz="4" w:space="0" w:color="auto"/>
                    <w:right w:val="nil"/>
                  </w:tcBorders>
                  <w:shd w:val="clear" w:color="000000" w:fill="FFFFFF"/>
                  <w:vAlign w:val="center"/>
                  <w:hideMark/>
                </w:tcPr>
                <w:p w14:paraId="52223BC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health and wellbeing support</w:t>
                  </w:r>
                </w:p>
              </w:tc>
              <w:tc>
                <w:tcPr>
                  <w:tcW w:w="1884" w:type="dxa"/>
                  <w:tcBorders>
                    <w:top w:val="nil"/>
                    <w:left w:val="single" w:sz="8" w:space="0" w:color="000000"/>
                    <w:bottom w:val="single" w:sz="4" w:space="0" w:color="auto"/>
                    <w:right w:val="nil"/>
                  </w:tcBorders>
                  <w:shd w:val="clear" w:color="auto" w:fill="auto"/>
                  <w:noWrap/>
                  <w:vAlign w:val="center"/>
                  <w:hideMark/>
                </w:tcPr>
                <w:p w14:paraId="065C21C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24,279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17898D84"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16,990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1306C4D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13,296 </w:t>
                  </w:r>
                </w:p>
              </w:tc>
              <w:tc>
                <w:tcPr>
                  <w:tcW w:w="1452" w:type="dxa"/>
                  <w:tcBorders>
                    <w:top w:val="nil"/>
                    <w:left w:val="nil"/>
                    <w:bottom w:val="single" w:sz="4" w:space="0" w:color="000000"/>
                    <w:right w:val="single" w:sz="8" w:space="0" w:color="000000"/>
                  </w:tcBorders>
                  <w:shd w:val="clear" w:color="000000" w:fill="FFFFFF"/>
                  <w:noWrap/>
                  <w:vAlign w:val="center"/>
                  <w:hideMark/>
                </w:tcPr>
                <w:p w14:paraId="05BA3550"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54,565 </w:t>
                  </w:r>
                </w:p>
              </w:tc>
            </w:tr>
            <w:tr w:rsidR="00093637" w:rsidRPr="00093637" w14:paraId="7135A353" w14:textId="77777777" w:rsidTr="00635853">
              <w:trPr>
                <w:trHeight w:val="290"/>
              </w:trPr>
              <w:tc>
                <w:tcPr>
                  <w:tcW w:w="2095" w:type="dxa"/>
                  <w:tcBorders>
                    <w:top w:val="nil"/>
                    <w:left w:val="single" w:sz="8" w:space="0" w:color="auto"/>
                    <w:bottom w:val="single" w:sz="4" w:space="0" w:color="auto"/>
                    <w:right w:val="nil"/>
                  </w:tcBorders>
                  <w:shd w:val="clear" w:color="000000" w:fill="A6A6A6"/>
                  <w:vAlign w:val="center"/>
                  <w:hideMark/>
                </w:tcPr>
                <w:p w14:paraId="23374E28"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Employment and Education</w:t>
                  </w:r>
                </w:p>
              </w:tc>
              <w:tc>
                <w:tcPr>
                  <w:tcW w:w="1884" w:type="dxa"/>
                  <w:tcBorders>
                    <w:top w:val="nil"/>
                    <w:left w:val="single" w:sz="8" w:space="0" w:color="000000"/>
                    <w:bottom w:val="single" w:sz="4" w:space="0" w:color="auto"/>
                    <w:right w:val="nil"/>
                  </w:tcBorders>
                  <w:shd w:val="clear" w:color="000000" w:fill="A6A6A6"/>
                  <w:noWrap/>
                  <w:vAlign w:val="center"/>
                  <w:hideMark/>
                </w:tcPr>
                <w:p w14:paraId="1BBE1C5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67510359"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29FA68D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0693DA98"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545A89D7" w14:textId="77777777" w:rsidTr="00635853">
              <w:trPr>
                <w:trHeight w:val="930"/>
              </w:trPr>
              <w:tc>
                <w:tcPr>
                  <w:tcW w:w="2095" w:type="dxa"/>
                  <w:tcBorders>
                    <w:top w:val="nil"/>
                    <w:left w:val="single" w:sz="8" w:space="0" w:color="auto"/>
                    <w:bottom w:val="single" w:sz="4" w:space="0" w:color="auto"/>
                    <w:right w:val="nil"/>
                  </w:tcBorders>
                  <w:shd w:val="clear" w:color="000000" w:fill="FFFFFF"/>
                  <w:vAlign w:val="center"/>
                  <w:hideMark/>
                </w:tcPr>
                <w:p w14:paraId="31C7AA8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employment and education support</w:t>
                  </w:r>
                </w:p>
              </w:tc>
              <w:tc>
                <w:tcPr>
                  <w:tcW w:w="1884" w:type="dxa"/>
                  <w:tcBorders>
                    <w:top w:val="nil"/>
                    <w:left w:val="single" w:sz="8" w:space="0" w:color="000000"/>
                    <w:bottom w:val="single" w:sz="4" w:space="0" w:color="auto"/>
                    <w:right w:val="nil"/>
                  </w:tcBorders>
                  <w:shd w:val="clear" w:color="auto" w:fill="auto"/>
                  <w:noWrap/>
                  <w:vAlign w:val="center"/>
                  <w:hideMark/>
                </w:tcPr>
                <w:p w14:paraId="53E4DA5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10,536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0D9A619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9,747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769F2AC8"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4,556 </w:t>
                  </w:r>
                </w:p>
              </w:tc>
              <w:tc>
                <w:tcPr>
                  <w:tcW w:w="1452" w:type="dxa"/>
                  <w:tcBorders>
                    <w:top w:val="nil"/>
                    <w:left w:val="nil"/>
                    <w:bottom w:val="single" w:sz="4" w:space="0" w:color="000000"/>
                    <w:right w:val="single" w:sz="8" w:space="0" w:color="000000"/>
                  </w:tcBorders>
                  <w:shd w:val="clear" w:color="000000" w:fill="FFFFFF"/>
                  <w:noWrap/>
                  <w:vAlign w:val="center"/>
                  <w:hideMark/>
                </w:tcPr>
                <w:p w14:paraId="533932B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24,839 </w:t>
                  </w:r>
                </w:p>
              </w:tc>
            </w:tr>
            <w:tr w:rsidR="00093637" w:rsidRPr="00093637" w14:paraId="0148C526" w14:textId="77777777" w:rsidTr="00635853">
              <w:trPr>
                <w:trHeight w:val="290"/>
              </w:trPr>
              <w:tc>
                <w:tcPr>
                  <w:tcW w:w="2095" w:type="dxa"/>
                  <w:tcBorders>
                    <w:top w:val="nil"/>
                    <w:left w:val="single" w:sz="8" w:space="0" w:color="auto"/>
                    <w:bottom w:val="single" w:sz="4" w:space="0" w:color="auto"/>
                    <w:right w:val="nil"/>
                  </w:tcBorders>
                  <w:shd w:val="clear" w:color="000000" w:fill="A6A6A6"/>
                  <w:vAlign w:val="center"/>
                  <w:hideMark/>
                </w:tcPr>
                <w:p w14:paraId="3066D945"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Life skills</w:t>
                  </w:r>
                </w:p>
              </w:tc>
              <w:tc>
                <w:tcPr>
                  <w:tcW w:w="1884" w:type="dxa"/>
                  <w:tcBorders>
                    <w:top w:val="nil"/>
                    <w:left w:val="single" w:sz="8" w:space="0" w:color="000000"/>
                    <w:bottom w:val="single" w:sz="4" w:space="0" w:color="auto"/>
                    <w:right w:val="nil"/>
                  </w:tcBorders>
                  <w:shd w:val="clear" w:color="000000" w:fill="A6A6A6"/>
                  <w:noWrap/>
                  <w:vAlign w:val="center"/>
                  <w:hideMark/>
                </w:tcPr>
                <w:p w14:paraId="74A9EF9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3658CD7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07D0349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597F3CB5"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4A91422F" w14:textId="77777777" w:rsidTr="00635853">
              <w:trPr>
                <w:trHeight w:val="610"/>
              </w:trPr>
              <w:tc>
                <w:tcPr>
                  <w:tcW w:w="2095" w:type="dxa"/>
                  <w:tcBorders>
                    <w:top w:val="nil"/>
                    <w:left w:val="single" w:sz="8" w:space="0" w:color="auto"/>
                    <w:bottom w:val="single" w:sz="4" w:space="0" w:color="auto"/>
                    <w:right w:val="nil"/>
                  </w:tcBorders>
                  <w:shd w:val="clear" w:color="000000" w:fill="FFFFFF"/>
                  <w:vAlign w:val="center"/>
                  <w:hideMark/>
                </w:tcPr>
                <w:p w14:paraId="5FBFEAA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life skills support</w:t>
                  </w:r>
                </w:p>
              </w:tc>
              <w:tc>
                <w:tcPr>
                  <w:tcW w:w="1884" w:type="dxa"/>
                  <w:tcBorders>
                    <w:top w:val="nil"/>
                    <w:left w:val="single" w:sz="8" w:space="0" w:color="000000"/>
                    <w:bottom w:val="single" w:sz="4" w:space="0" w:color="auto"/>
                    <w:right w:val="nil"/>
                  </w:tcBorders>
                  <w:shd w:val="clear" w:color="auto" w:fill="auto"/>
                  <w:noWrap/>
                  <w:vAlign w:val="center"/>
                  <w:hideMark/>
                </w:tcPr>
                <w:p w14:paraId="609A6DE0"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8,704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1F7601D2"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7,631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0D3087C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4,796 </w:t>
                  </w:r>
                </w:p>
              </w:tc>
              <w:tc>
                <w:tcPr>
                  <w:tcW w:w="1452" w:type="dxa"/>
                  <w:tcBorders>
                    <w:top w:val="nil"/>
                    <w:left w:val="nil"/>
                    <w:bottom w:val="single" w:sz="4" w:space="0" w:color="000000"/>
                    <w:right w:val="single" w:sz="8" w:space="0" w:color="000000"/>
                  </w:tcBorders>
                  <w:shd w:val="clear" w:color="000000" w:fill="FFFFFF"/>
                  <w:noWrap/>
                  <w:vAlign w:val="center"/>
                  <w:hideMark/>
                </w:tcPr>
                <w:p w14:paraId="19D63A8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21,131 </w:t>
                  </w:r>
                </w:p>
              </w:tc>
            </w:tr>
            <w:tr w:rsidR="00093637" w:rsidRPr="00093637" w14:paraId="26A8E636" w14:textId="77777777" w:rsidTr="00635853">
              <w:trPr>
                <w:trHeight w:val="520"/>
              </w:trPr>
              <w:tc>
                <w:tcPr>
                  <w:tcW w:w="2095" w:type="dxa"/>
                  <w:tcBorders>
                    <w:top w:val="nil"/>
                    <w:left w:val="single" w:sz="8" w:space="0" w:color="auto"/>
                    <w:bottom w:val="single" w:sz="4" w:space="0" w:color="auto"/>
                    <w:right w:val="nil"/>
                  </w:tcBorders>
                  <w:shd w:val="clear" w:color="000000" w:fill="A6A6A6"/>
                  <w:vAlign w:val="center"/>
                  <w:hideMark/>
                </w:tcPr>
                <w:p w14:paraId="41A4F4CB"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Money management/Budgeting</w:t>
                  </w:r>
                </w:p>
              </w:tc>
              <w:tc>
                <w:tcPr>
                  <w:tcW w:w="1884" w:type="dxa"/>
                  <w:tcBorders>
                    <w:top w:val="nil"/>
                    <w:left w:val="single" w:sz="8" w:space="0" w:color="000000"/>
                    <w:bottom w:val="single" w:sz="4" w:space="0" w:color="auto"/>
                    <w:right w:val="nil"/>
                  </w:tcBorders>
                  <w:shd w:val="clear" w:color="000000" w:fill="A6A6A6"/>
                  <w:noWrap/>
                  <w:vAlign w:val="center"/>
                  <w:hideMark/>
                </w:tcPr>
                <w:p w14:paraId="704FE2E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43C11CAD"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6275E174"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5F56F95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2AB66F9D" w14:textId="77777777" w:rsidTr="00635853">
              <w:trPr>
                <w:trHeight w:val="660"/>
              </w:trPr>
              <w:tc>
                <w:tcPr>
                  <w:tcW w:w="2095" w:type="dxa"/>
                  <w:tcBorders>
                    <w:top w:val="nil"/>
                    <w:left w:val="single" w:sz="8" w:space="0" w:color="auto"/>
                    <w:bottom w:val="single" w:sz="4" w:space="0" w:color="auto"/>
                    <w:right w:val="nil"/>
                  </w:tcBorders>
                  <w:shd w:val="clear" w:color="000000" w:fill="FFFFFF"/>
                  <w:vAlign w:val="center"/>
                  <w:hideMark/>
                </w:tcPr>
                <w:p w14:paraId="38946A6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money management/budgeting support</w:t>
                  </w:r>
                </w:p>
              </w:tc>
              <w:tc>
                <w:tcPr>
                  <w:tcW w:w="1884" w:type="dxa"/>
                  <w:tcBorders>
                    <w:top w:val="nil"/>
                    <w:left w:val="single" w:sz="8" w:space="0" w:color="000000"/>
                    <w:bottom w:val="single" w:sz="4" w:space="0" w:color="auto"/>
                    <w:right w:val="nil"/>
                  </w:tcBorders>
                  <w:shd w:val="clear" w:color="auto" w:fill="auto"/>
                  <w:noWrap/>
                  <w:vAlign w:val="center"/>
                  <w:hideMark/>
                </w:tcPr>
                <w:p w14:paraId="30C2C184"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11,184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3A86C576"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4,105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5F5217E8"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2,612 </w:t>
                  </w:r>
                </w:p>
              </w:tc>
              <w:tc>
                <w:tcPr>
                  <w:tcW w:w="1452" w:type="dxa"/>
                  <w:tcBorders>
                    <w:top w:val="nil"/>
                    <w:left w:val="nil"/>
                    <w:bottom w:val="single" w:sz="4" w:space="0" w:color="000000"/>
                    <w:right w:val="single" w:sz="8" w:space="0" w:color="000000"/>
                  </w:tcBorders>
                  <w:shd w:val="clear" w:color="000000" w:fill="FFFFFF"/>
                  <w:noWrap/>
                  <w:vAlign w:val="center"/>
                  <w:hideMark/>
                </w:tcPr>
                <w:p w14:paraId="6B6C0987"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17,901 </w:t>
                  </w:r>
                </w:p>
              </w:tc>
            </w:tr>
            <w:tr w:rsidR="00093637" w:rsidRPr="00093637" w14:paraId="01011EC3" w14:textId="77777777" w:rsidTr="00635853">
              <w:trPr>
                <w:trHeight w:val="540"/>
              </w:trPr>
              <w:tc>
                <w:tcPr>
                  <w:tcW w:w="2095" w:type="dxa"/>
                  <w:tcBorders>
                    <w:top w:val="nil"/>
                    <w:left w:val="single" w:sz="8" w:space="0" w:color="auto"/>
                    <w:bottom w:val="single" w:sz="4" w:space="0" w:color="auto"/>
                    <w:right w:val="nil"/>
                  </w:tcBorders>
                  <w:shd w:val="clear" w:color="000000" w:fill="A6A6A6"/>
                  <w:vAlign w:val="center"/>
                  <w:hideMark/>
                </w:tcPr>
                <w:p w14:paraId="33E49F58"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Cooking/Healthy eating/Meal planning</w:t>
                  </w:r>
                </w:p>
              </w:tc>
              <w:tc>
                <w:tcPr>
                  <w:tcW w:w="1884" w:type="dxa"/>
                  <w:tcBorders>
                    <w:top w:val="nil"/>
                    <w:left w:val="single" w:sz="8" w:space="0" w:color="000000"/>
                    <w:bottom w:val="single" w:sz="4" w:space="0" w:color="auto"/>
                    <w:right w:val="nil"/>
                  </w:tcBorders>
                  <w:shd w:val="clear" w:color="000000" w:fill="A6A6A6"/>
                  <w:noWrap/>
                  <w:vAlign w:val="center"/>
                  <w:hideMark/>
                </w:tcPr>
                <w:p w14:paraId="64C1CD7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single" w:sz="4" w:space="0" w:color="auto"/>
                    <w:right w:val="single" w:sz="4" w:space="0" w:color="auto"/>
                  </w:tcBorders>
                  <w:shd w:val="clear" w:color="000000" w:fill="A6A6A6"/>
                  <w:noWrap/>
                  <w:vAlign w:val="center"/>
                  <w:hideMark/>
                </w:tcPr>
                <w:p w14:paraId="79F4D1B4"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single" w:sz="4" w:space="0" w:color="auto"/>
                    <w:right w:val="single" w:sz="4" w:space="0" w:color="auto"/>
                  </w:tcBorders>
                  <w:shd w:val="clear" w:color="000000" w:fill="A6A6A6"/>
                  <w:noWrap/>
                  <w:vAlign w:val="center"/>
                  <w:hideMark/>
                </w:tcPr>
                <w:p w14:paraId="401DE76B"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single" w:sz="4" w:space="0" w:color="000000"/>
                    <w:right w:val="single" w:sz="8" w:space="0" w:color="000000"/>
                  </w:tcBorders>
                  <w:shd w:val="clear" w:color="000000" w:fill="A6A6A6"/>
                  <w:noWrap/>
                  <w:vAlign w:val="center"/>
                  <w:hideMark/>
                </w:tcPr>
                <w:p w14:paraId="5643C59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6AA05AC3" w14:textId="77777777" w:rsidTr="00635853">
              <w:trPr>
                <w:trHeight w:val="840"/>
              </w:trPr>
              <w:tc>
                <w:tcPr>
                  <w:tcW w:w="2095" w:type="dxa"/>
                  <w:tcBorders>
                    <w:top w:val="nil"/>
                    <w:left w:val="single" w:sz="8" w:space="0" w:color="auto"/>
                    <w:bottom w:val="nil"/>
                    <w:right w:val="nil"/>
                  </w:tcBorders>
                  <w:shd w:val="clear" w:color="000000" w:fill="FFFFFF"/>
                  <w:vAlign w:val="center"/>
                  <w:hideMark/>
                </w:tcPr>
                <w:p w14:paraId="2305C295"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No. of people receiving cooking/healthy eating/meal planning support</w:t>
                  </w:r>
                </w:p>
              </w:tc>
              <w:tc>
                <w:tcPr>
                  <w:tcW w:w="1884" w:type="dxa"/>
                  <w:tcBorders>
                    <w:top w:val="nil"/>
                    <w:left w:val="single" w:sz="8" w:space="0" w:color="000000"/>
                    <w:bottom w:val="single" w:sz="4" w:space="0" w:color="auto"/>
                    <w:right w:val="nil"/>
                  </w:tcBorders>
                  <w:shd w:val="clear" w:color="auto" w:fill="auto"/>
                  <w:noWrap/>
                  <w:vAlign w:val="center"/>
                  <w:hideMark/>
                </w:tcPr>
                <w:p w14:paraId="2F069A42"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6,049 </w:t>
                  </w:r>
                </w:p>
              </w:tc>
              <w:tc>
                <w:tcPr>
                  <w:tcW w:w="1364" w:type="dxa"/>
                  <w:tcBorders>
                    <w:top w:val="nil"/>
                    <w:left w:val="single" w:sz="8" w:space="0" w:color="000000"/>
                    <w:bottom w:val="single" w:sz="4" w:space="0" w:color="auto"/>
                    <w:right w:val="single" w:sz="4" w:space="0" w:color="auto"/>
                  </w:tcBorders>
                  <w:shd w:val="clear" w:color="auto" w:fill="auto"/>
                  <w:noWrap/>
                  <w:vAlign w:val="center"/>
                  <w:hideMark/>
                </w:tcPr>
                <w:p w14:paraId="2B58A9EF"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8,201 </w:t>
                  </w:r>
                </w:p>
              </w:tc>
              <w:tc>
                <w:tcPr>
                  <w:tcW w:w="1393" w:type="dxa"/>
                  <w:tcBorders>
                    <w:top w:val="nil"/>
                    <w:left w:val="single" w:sz="8" w:space="0" w:color="000000"/>
                    <w:bottom w:val="single" w:sz="4" w:space="0" w:color="auto"/>
                    <w:right w:val="single" w:sz="4" w:space="0" w:color="auto"/>
                  </w:tcBorders>
                  <w:shd w:val="clear" w:color="auto" w:fill="auto"/>
                  <w:noWrap/>
                  <w:vAlign w:val="center"/>
                  <w:hideMark/>
                </w:tcPr>
                <w:p w14:paraId="037C10C1"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10,400 </w:t>
                  </w:r>
                </w:p>
              </w:tc>
              <w:tc>
                <w:tcPr>
                  <w:tcW w:w="1452" w:type="dxa"/>
                  <w:tcBorders>
                    <w:top w:val="nil"/>
                    <w:left w:val="nil"/>
                    <w:bottom w:val="single" w:sz="4" w:space="0" w:color="000000"/>
                    <w:right w:val="single" w:sz="8" w:space="0" w:color="000000"/>
                  </w:tcBorders>
                  <w:shd w:val="clear" w:color="000000" w:fill="FFFFFF"/>
                  <w:noWrap/>
                  <w:vAlign w:val="center"/>
                  <w:hideMark/>
                </w:tcPr>
                <w:p w14:paraId="499B6C8E"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xml:space="preserve">                              24,650 </w:t>
                  </w:r>
                </w:p>
              </w:tc>
            </w:tr>
            <w:tr w:rsidR="00093637" w:rsidRPr="00093637" w14:paraId="6DFEC4BC" w14:textId="77777777" w:rsidTr="00635853">
              <w:trPr>
                <w:trHeight w:val="300"/>
              </w:trPr>
              <w:tc>
                <w:tcPr>
                  <w:tcW w:w="2095" w:type="dxa"/>
                  <w:tcBorders>
                    <w:top w:val="single" w:sz="8" w:space="0" w:color="auto"/>
                    <w:left w:val="single" w:sz="8" w:space="0" w:color="auto"/>
                    <w:bottom w:val="nil"/>
                    <w:right w:val="nil"/>
                  </w:tcBorders>
                  <w:shd w:val="clear" w:color="000000" w:fill="A6A6A6"/>
                  <w:noWrap/>
                  <w:vAlign w:val="center"/>
                  <w:hideMark/>
                </w:tcPr>
                <w:p w14:paraId="24C6E4D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884" w:type="dxa"/>
                  <w:tcBorders>
                    <w:top w:val="nil"/>
                    <w:left w:val="single" w:sz="8" w:space="0" w:color="000000"/>
                    <w:bottom w:val="nil"/>
                    <w:right w:val="nil"/>
                  </w:tcBorders>
                  <w:shd w:val="clear" w:color="000000" w:fill="A6A6A6"/>
                  <w:noWrap/>
                  <w:vAlign w:val="center"/>
                  <w:hideMark/>
                </w:tcPr>
                <w:p w14:paraId="7D454166"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64" w:type="dxa"/>
                  <w:tcBorders>
                    <w:top w:val="nil"/>
                    <w:left w:val="single" w:sz="8" w:space="0" w:color="000000"/>
                    <w:bottom w:val="nil"/>
                    <w:right w:val="nil"/>
                  </w:tcBorders>
                  <w:shd w:val="clear" w:color="000000" w:fill="A6A6A6"/>
                  <w:noWrap/>
                  <w:vAlign w:val="center"/>
                  <w:hideMark/>
                </w:tcPr>
                <w:p w14:paraId="64EAE295"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393" w:type="dxa"/>
                  <w:tcBorders>
                    <w:top w:val="nil"/>
                    <w:left w:val="single" w:sz="8" w:space="0" w:color="000000"/>
                    <w:bottom w:val="nil"/>
                    <w:right w:val="nil"/>
                  </w:tcBorders>
                  <w:shd w:val="clear" w:color="000000" w:fill="A6A6A6"/>
                  <w:noWrap/>
                  <w:vAlign w:val="center"/>
                  <w:hideMark/>
                </w:tcPr>
                <w:p w14:paraId="22036A23"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c>
                <w:tcPr>
                  <w:tcW w:w="1452" w:type="dxa"/>
                  <w:tcBorders>
                    <w:top w:val="nil"/>
                    <w:left w:val="nil"/>
                    <w:bottom w:val="nil"/>
                    <w:right w:val="single" w:sz="8" w:space="0" w:color="000000"/>
                  </w:tcBorders>
                  <w:shd w:val="clear" w:color="000000" w:fill="A6A6A6"/>
                  <w:noWrap/>
                  <w:vAlign w:val="center"/>
                  <w:hideMark/>
                </w:tcPr>
                <w:p w14:paraId="780B8BCA" w14:textId="77777777" w:rsidR="00CC28C0" w:rsidRPr="00093637" w:rsidRDefault="00CC28C0" w:rsidP="00CC28C0">
                  <w:pPr>
                    <w:spacing w:line="240" w:lineRule="auto"/>
                    <w:jc w:val="center"/>
                    <w:rPr>
                      <w:rFonts w:eastAsia="Times New Roman" w:cstheme="minorHAnsi"/>
                      <w:color w:val="auto"/>
                      <w:sz w:val="16"/>
                      <w:szCs w:val="16"/>
                      <w:lang w:eastAsia="en-GB"/>
                    </w:rPr>
                  </w:pPr>
                  <w:r w:rsidRPr="00093637">
                    <w:rPr>
                      <w:rFonts w:eastAsia="Times New Roman" w:cstheme="minorHAnsi"/>
                      <w:color w:val="auto"/>
                      <w:sz w:val="16"/>
                      <w:szCs w:val="16"/>
                      <w:lang w:eastAsia="en-GB"/>
                    </w:rPr>
                    <w:t> </w:t>
                  </w:r>
                </w:p>
              </w:tc>
            </w:tr>
            <w:tr w:rsidR="00093637" w:rsidRPr="00093637" w14:paraId="588CB57A" w14:textId="77777777" w:rsidTr="00635853">
              <w:trPr>
                <w:trHeight w:val="590"/>
              </w:trPr>
              <w:tc>
                <w:tcPr>
                  <w:tcW w:w="2095" w:type="dxa"/>
                  <w:tcBorders>
                    <w:top w:val="single" w:sz="8" w:space="0" w:color="000000"/>
                    <w:left w:val="single" w:sz="8" w:space="0" w:color="000000"/>
                    <w:bottom w:val="single" w:sz="8" w:space="0" w:color="000000"/>
                    <w:right w:val="nil"/>
                  </w:tcBorders>
                  <w:shd w:val="clear" w:color="000000" w:fill="FFFFFF"/>
                  <w:vAlign w:val="center"/>
                  <w:hideMark/>
                </w:tcPr>
                <w:p w14:paraId="61CE3FFB"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Total Reach (including info booklets and Face to Face)  </w:t>
                  </w:r>
                </w:p>
              </w:tc>
              <w:tc>
                <w:tcPr>
                  <w:tcW w:w="1884" w:type="dxa"/>
                  <w:tcBorders>
                    <w:top w:val="single" w:sz="8" w:space="0" w:color="000000"/>
                    <w:left w:val="single" w:sz="8" w:space="0" w:color="000000"/>
                    <w:bottom w:val="single" w:sz="8" w:space="0" w:color="000000"/>
                    <w:right w:val="nil"/>
                  </w:tcBorders>
                  <w:shd w:val="clear" w:color="000000" w:fill="FFFFFF"/>
                  <w:noWrap/>
                  <w:vAlign w:val="center"/>
                  <w:hideMark/>
                </w:tcPr>
                <w:p w14:paraId="40795860"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73,412 </w:t>
                  </w:r>
                </w:p>
              </w:tc>
              <w:tc>
                <w:tcPr>
                  <w:tcW w:w="1364"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A402CB3"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95,777 </w:t>
                  </w:r>
                </w:p>
              </w:tc>
              <w:tc>
                <w:tcPr>
                  <w:tcW w:w="1393" w:type="dxa"/>
                  <w:tcBorders>
                    <w:top w:val="single" w:sz="8" w:space="0" w:color="000000"/>
                    <w:left w:val="nil"/>
                    <w:bottom w:val="single" w:sz="8" w:space="0" w:color="000000"/>
                    <w:right w:val="single" w:sz="8" w:space="0" w:color="000000"/>
                  </w:tcBorders>
                  <w:shd w:val="clear" w:color="000000" w:fill="FFFFFF"/>
                  <w:noWrap/>
                  <w:vAlign w:val="center"/>
                  <w:hideMark/>
                </w:tcPr>
                <w:p w14:paraId="5AFF8FFD"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58,177 </w:t>
                  </w:r>
                </w:p>
              </w:tc>
              <w:tc>
                <w:tcPr>
                  <w:tcW w:w="1452" w:type="dxa"/>
                  <w:tcBorders>
                    <w:top w:val="single" w:sz="8" w:space="0" w:color="000000"/>
                    <w:left w:val="nil"/>
                    <w:bottom w:val="single" w:sz="8" w:space="0" w:color="000000"/>
                    <w:right w:val="single" w:sz="8" w:space="0" w:color="000000"/>
                  </w:tcBorders>
                  <w:shd w:val="clear" w:color="000000" w:fill="FFFFFF"/>
                  <w:noWrap/>
                  <w:vAlign w:val="center"/>
                  <w:hideMark/>
                </w:tcPr>
                <w:p w14:paraId="1943C942"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227,366 </w:t>
                  </w:r>
                </w:p>
              </w:tc>
            </w:tr>
            <w:tr w:rsidR="00093637" w:rsidRPr="00093637" w14:paraId="5E034329" w14:textId="77777777" w:rsidTr="00635853">
              <w:trPr>
                <w:trHeight w:val="740"/>
              </w:trPr>
              <w:tc>
                <w:tcPr>
                  <w:tcW w:w="2095" w:type="dxa"/>
                  <w:tcBorders>
                    <w:top w:val="nil"/>
                    <w:left w:val="single" w:sz="8" w:space="0" w:color="000000"/>
                    <w:bottom w:val="single" w:sz="8" w:space="0" w:color="000000"/>
                    <w:right w:val="nil"/>
                  </w:tcBorders>
                  <w:shd w:val="clear" w:color="000000" w:fill="FFFFFF"/>
                  <w:vAlign w:val="center"/>
                  <w:hideMark/>
                </w:tcPr>
                <w:p w14:paraId="291AF49F" w14:textId="4DD5152C"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Total Reach (the 6 service categories only Face to Face </w:t>
                  </w:r>
                  <w:r w:rsidR="00635853" w:rsidRPr="00093637">
                    <w:rPr>
                      <w:rFonts w:eastAsia="Times New Roman" w:cstheme="minorHAnsi"/>
                      <w:b/>
                      <w:bCs/>
                      <w:color w:val="auto"/>
                      <w:sz w:val="16"/>
                      <w:szCs w:val="16"/>
                      <w:lang w:eastAsia="en-GB"/>
                    </w:rPr>
                    <w:t>conversations</w:t>
                  </w:r>
                  <w:r w:rsidRPr="00093637">
                    <w:rPr>
                      <w:rFonts w:eastAsia="Times New Roman" w:cstheme="minorHAnsi"/>
                      <w:b/>
                      <w:bCs/>
                      <w:color w:val="auto"/>
                      <w:sz w:val="16"/>
                      <w:szCs w:val="16"/>
                      <w:lang w:eastAsia="en-GB"/>
                    </w:rPr>
                    <w:t xml:space="preserve">)  </w:t>
                  </w:r>
                </w:p>
              </w:tc>
              <w:tc>
                <w:tcPr>
                  <w:tcW w:w="1884" w:type="dxa"/>
                  <w:tcBorders>
                    <w:top w:val="nil"/>
                    <w:left w:val="single" w:sz="8" w:space="0" w:color="000000"/>
                    <w:bottom w:val="single" w:sz="8" w:space="0" w:color="000000"/>
                    <w:right w:val="nil"/>
                  </w:tcBorders>
                  <w:shd w:val="clear" w:color="000000" w:fill="FFFFFF"/>
                  <w:noWrap/>
                  <w:vAlign w:val="center"/>
                  <w:hideMark/>
                </w:tcPr>
                <w:p w14:paraId="0A272F70"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73,412 </w:t>
                  </w:r>
                </w:p>
              </w:tc>
              <w:tc>
                <w:tcPr>
                  <w:tcW w:w="1364" w:type="dxa"/>
                  <w:tcBorders>
                    <w:top w:val="nil"/>
                    <w:left w:val="single" w:sz="8" w:space="0" w:color="000000"/>
                    <w:bottom w:val="single" w:sz="8" w:space="0" w:color="000000"/>
                    <w:right w:val="single" w:sz="8" w:space="0" w:color="000000"/>
                  </w:tcBorders>
                  <w:shd w:val="clear" w:color="000000" w:fill="FFFFFF"/>
                  <w:noWrap/>
                  <w:vAlign w:val="center"/>
                  <w:hideMark/>
                </w:tcPr>
                <w:p w14:paraId="1C538D98"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52,172 </w:t>
                  </w:r>
                </w:p>
              </w:tc>
              <w:tc>
                <w:tcPr>
                  <w:tcW w:w="1393" w:type="dxa"/>
                  <w:tcBorders>
                    <w:top w:val="nil"/>
                    <w:left w:val="nil"/>
                    <w:bottom w:val="single" w:sz="8" w:space="0" w:color="000000"/>
                    <w:right w:val="single" w:sz="8" w:space="0" w:color="000000"/>
                  </w:tcBorders>
                  <w:shd w:val="clear" w:color="000000" w:fill="FFFFFF"/>
                  <w:noWrap/>
                  <w:vAlign w:val="center"/>
                  <w:hideMark/>
                </w:tcPr>
                <w:p w14:paraId="4C6BB2A5"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39,244 </w:t>
                  </w:r>
                </w:p>
              </w:tc>
              <w:tc>
                <w:tcPr>
                  <w:tcW w:w="1452" w:type="dxa"/>
                  <w:tcBorders>
                    <w:top w:val="nil"/>
                    <w:left w:val="nil"/>
                    <w:bottom w:val="single" w:sz="8" w:space="0" w:color="000000"/>
                    <w:right w:val="single" w:sz="8" w:space="0" w:color="000000"/>
                  </w:tcBorders>
                  <w:shd w:val="clear" w:color="000000" w:fill="FFFFFF"/>
                  <w:noWrap/>
                  <w:vAlign w:val="center"/>
                  <w:hideMark/>
                </w:tcPr>
                <w:p w14:paraId="5AB14725" w14:textId="77777777" w:rsidR="00CC28C0" w:rsidRPr="00093637" w:rsidRDefault="00CC28C0" w:rsidP="00CC28C0">
                  <w:pPr>
                    <w:spacing w:line="240" w:lineRule="auto"/>
                    <w:jc w:val="center"/>
                    <w:rPr>
                      <w:rFonts w:eastAsia="Times New Roman" w:cstheme="minorHAnsi"/>
                      <w:b/>
                      <w:bCs/>
                      <w:color w:val="auto"/>
                      <w:sz w:val="16"/>
                      <w:szCs w:val="16"/>
                      <w:lang w:eastAsia="en-GB"/>
                    </w:rPr>
                  </w:pPr>
                  <w:r w:rsidRPr="00093637">
                    <w:rPr>
                      <w:rFonts w:eastAsia="Times New Roman" w:cstheme="minorHAnsi"/>
                      <w:b/>
                      <w:bCs/>
                      <w:color w:val="auto"/>
                      <w:sz w:val="16"/>
                      <w:szCs w:val="16"/>
                      <w:lang w:eastAsia="en-GB"/>
                    </w:rPr>
                    <w:t xml:space="preserve">                                 164,828 </w:t>
                  </w:r>
                </w:p>
              </w:tc>
            </w:tr>
          </w:tbl>
          <w:p w14:paraId="3FD7BEB3" w14:textId="77777777" w:rsidR="00F32BB3" w:rsidRPr="00093637" w:rsidRDefault="00F32BB3" w:rsidP="00653687">
            <w:pPr>
              <w:pStyle w:val="ChartSubtitle"/>
              <w:tabs>
                <w:tab w:val="left" w:pos="2170"/>
              </w:tabs>
              <w:jc w:val="both"/>
              <w:rPr>
                <w:color w:val="auto"/>
                <w:sz w:val="22"/>
              </w:rPr>
            </w:pPr>
          </w:p>
          <w:p w14:paraId="513A1E0B" w14:textId="77777777" w:rsidR="00653687" w:rsidRPr="00093637" w:rsidRDefault="00653687" w:rsidP="00071821">
            <w:pPr>
              <w:pStyle w:val="ChartSubtitle"/>
              <w:rPr>
                <w:rFonts w:cstheme="minorHAnsi"/>
                <w:color w:val="auto"/>
                <w:szCs w:val="20"/>
                <w:u w:val="single"/>
              </w:rPr>
            </w:pPr>
          </w:p>
          <w:p w14:paraId="05EA91DC" w14:textId="5752A682" w:rsidR="00A9003E" w:rsidRPr="00093637" w:rsidRDefault="00A9003E" w:rsidP="00071821">
            <w:pPr>
              <w:pStyle w:val="ChartSubtitle"/>
              <w:rPr>
                <w:rFonts w:cstheme="minorHAnsi"/>
                <w:color w:val="auto"/>
                <w:szCs w:val="20"/>
              </w:rPr>
            </w:pPr>
          </w:p>
        </w:tc>
      </w:tr>
      <w:tr w:rsidR="001A0F9B" w:rsidRPr="004462A4" w14:paraId="09B0CFB2" w14:textId="77777777" w:rsidTr="00E24930">
        <w:trPr>
          <w:trHeight w:val="228"/>
        </w:trPr>
        <w:tc>
          <w:tcPr>
            <w:tcW w:w="972" w:type="pct"/>
          </w:tcPr>
          <w:p w14:paraId="15348D8B" w14:textId="06FBF0F8" w:rsidR="00D113D7" w:rsidRPr="004462A4" w:rsidRDefault="00D113D7" w:rsidP="00D113D7">
            <w:pPr>
              <w:pStyle w:val="ChartSubtitle"/>
              <w:rPr>
                <w:b/>
                <w:bCs/>
                <w:szCs w:val="20"/>
              </w:rPr>
            </w:pPr>
            <w:r w:rsidRPr="004462A4">
              <w:rPr>
                <w:b/>
                <w:bCs/>
                <w:szCs w:val="20"/>
              </w:rPr>
              <w:lastRenderedPageBreak/>
              <w:t>Project Partners and Third Parties Involved</w:t>
            </w:r>
          </w:p>
          <w:p w14:paraId="4217A0B2" w14:textId="272D7029" w:rsidR="00D113D7" w:rsidRPr="004462A4" w:rsidRDefault="00D113D7" w:rsidP="00D113D7">
            <w:pPr>
              <w:pStyle w:val="ChartSubtitle"/>
              <w:rPr>
                <w:b/>
                <w:bCs/>
                <w:szCs w:val="20"/>
              </w:rPr>
            </w:pPr>
          </w:p>
        </w:tc>
        <w:tc>
          <w:tcPr>
            <w:tcW w:w="4028" w:type="pct"/>
          </w:tcPr>
          <w:p w14:paraId="4DBE4580" w14:textId="58922BCB" w:rsidR="00090EDA" w:rsidRPr="00366092" w:rsidRDefault="00090EDA" w:rsidP="003C05F5">
            <w:pPr>
              <w:pStyle w:val="ChartSubtitle"/>
              <w:rPr>
                <w:color w:val="auto"/>
                <w:sz w:val="22"/>
              </w:rPr>
            </w:pPr>
            <w:r w:rsidRPr="00366092">
              <w:rPr>
                <w:rFonts w:cstheme="minorHAnsi"/>
                <w:color w:val="auto"/>
                <w:sz w:val="22"/>
              </w:rPr>
              <w:t>YMCA</w:t>
            </w:r>
            <w:r w:rsidR="00B821EF">
              <w:rPr>
                <w:rFonts w:cstheme="minorHAnsi"/>
                <w:color w:val="auto"/>
                <w:sz w:val="22"/>
              </w:rPr>
              <w:t xml:space="preserve"> England &amp; Wales</w:t>
            </w:r>
            <w:r w:rsidRPr="00366092">
              <w:rPr>
                <w:rFonts w:cstheme="minorHAnsi"/>
                <w:color w:val="auto"/>
                <w:sz w:val="22"/>
              </w:rPr>
              <w:t xml:space="preserve"> - </w:t>
            </w:r>
            <w:r w:rsidR="007C7151" w:rsidRPr="00366092">
              <w:rPr>
                <w:color w:val="auto"/>
                <w:sz w:val="22"/>
              </w:rPr>
              <w:t>Lead delivery partner, managing relationship with all YMCA</w:t>
            </w:r>
            <w:r w:rsidR="00870999" w:rsidRPr="00366092">
              <w:rPr>
                <w:color w:val="auto"/>
                <w:sz w:val="22"/>
              </w:rPr>
              <w:t>.</w:t>
            </w:r>
          </w:p>
          <w:p w14:paraId="0C8228AA" w14:textId="77777777" w:rsidR="00870999" w:rsidRPr="00366092" w:rsidRDefault="00870999" w:rsidP="003C05F5">
            <w:pPr>
              <w:pStyle w:val="ChartSubtitle"/>
              <w:rPr>
                <w:rFonts w:cstheme="minorHAnsi"/>
                <w:color w:val="auto"/>
                <w:sz w:val="22"/>
              </w:rPr>
            </w:pPr>
          </w:p>
          <w:p w14:paraId="11787D15" w14:textId="6DC07CD7" w:rsidR="00476C3C" w:rsidRPr="00366092" w:rsidRDefault="00901C63" w:rsidP="003C05F5">
            <w:pPr>
              <w:pStyle w:val="ChartSubtitle"/>
              <w:rPr>
                <w:rFonts w:cstheme="minorHAnsi"/>
                <w:color w:val="auto"/>
                <w:sz w:val="22"/>
              </w:rPr>
            </w:pPr>
            <w:r w:rsidRPr="00366092">
              <w:rPr>
                <w:rFonts w:cstheme="minorHAnsi"/>
                <w:color w:val="auto"/>
                <w:sz w:val="22"/>
              </w:rPr>
              <w:t>Cadent</w:t>
            </w:r>
            <w:r w:rsidR="00476C3C" w:rsidRPr="00366092">
              <w:rPr>
                <w:rFonts w:cstheme="minorHAnsi"/>
                <w:color w:val="auto"/>
                <w:sz w:val="22"/>
              </w:rPr>
              <w:t xml:space="preserve"> – Lead gas network, providing funding and support to the delivery team, including training and access to broader referral partners and direct services for customers including</w:t>
            </w:r>
            <w:r w:rsidRPr="00366092">
              <w:rPr>
                <w:rFonts w:cstheme="minorHAnsi"/>
                <w:color w:val="auto"/>
                <w:sz w:val="22"/>
              </w:rPr>
              <w:t xml:space="preserve"> leaflets</w:t>
            </w:r>
            <w:r w:rsidR="00A94B5D" w:rsidRPr="00366092">
              <w:rPr>
                <w:rFonts w:cstheme="minorHAnsi"/>
                <w:color w:val="auto"/>
                <w:sz w:val="22"/>
              </w:rPr>
              <w:t>.</w:t>
            </w:r>
          </w:p>
          <w:p w14:paraId="62911286" w14:textId="77777777" w:rsidR="00A94B5D" w:rsidRPr="00366092" w:rsidRDefault="00A94B5D" w:rsidP="003C05F5">
            <w:pPr>
              <w:pStyle w:val="ChartSubtitle"/>
              <w:rPr>
                <w:rFonts w:cstheme="minorHAnsi"/>
                <w:color w:val="auto"/>
                <w:sz w:val="22"/>
              </w:rPr>
            </w:pPr>
          </w:p>
          <w:p w14:paraId="427FD0D1" w14:textId="6B515524" w:rsidR="00AC7C59" w:rsidRPr="00366092" w:rsidRDefault="00476C3C" w:rsidP="003C05F5">
            <w:pPr>
              <w:pStyle w:val="ChartSubtitle"/>
              <w:rPr>
                <w:rFonts w:cstheme="minorHAnsi"/>
                <w:color w:val="auto"/>
                <w:sz w:val="22"/>
              </w:rPr>
            </w:pPr>
            <w:r w:rsidRPr="00366092">
              <w:rPr>
                <w:rFonts w:cstheme="minorHAnsi"/>
                <w:color w:val="auto"/>
                <w:sz w:val="22"/>
              </w:rPr>
              <w:lastRenderedPageBreak/>
              <w:t>SGN &amp; W</w:t>
            </w:r>
            <w:r w:rsidR="00FE4D83">
              <w:rPr>
                <w:rFonts w:cstheme="minorHAnsi"/>
                <w:color w:val="auto"/>
                <w:sz w:val="22"/>
              </w:rPr>
              <w:t>WU</w:t>
            </w:r>
            <w:r w:rsidRPr="00366092">
              <w:rPr>
                <w:rFonts w:cstheme="minorHAnsi"/>
                <w:color w:val="auto"/>
                <w:sz w:val="22"/>
              </w:rPr>
              <w:t xml:space="preserve"> – Partner gas networks providing funding and access to broader referral partners and direct services for customers.</w:t>
            </w:r>
          </w:p>
          <w:p w14:paraId="1F7C96C5" w14:textId="76813C1E" w:rsidR="00476C3C" w:rsidRPr="00687E02" w:rsidRDefault="00476C3C" w:rsidP="003C05F5">
            <w:pPr>
              <w:pStyle w:val="ChartSubtitle"/>
              <w:rPr>
                <w:rFonts w:cstheme="minorHAnsi"/>
                <w:szCs w:val="20"/>
              </w:rPr>
            </w:pPr>
          </w:p>
        </w:tc>
      </w:tr>
      <w:tr w:rsidR="001A0F9B" w:rsidRPr="004462A4" w14:paraId="34C57987" w14:textId="77777777" w:rsidTr="00E24930">
        <w:trPr>
          <w:trHeight w:val="239"/>
        </w:trPr>
        <w:tc>
          <w:tcPr>
            <w:tcW w:w="972" w:type="pct"/>
          </w:tcPr>
          <w:p w14:paraId="179D4CEC" w14:textId="54315D5B" w:rsidR="00D113D7" w:rsidRPr="004462A4" w:rsidRDefault="00D113D7" w:rsidP="00D113D7">
            <w:pPr>
              <w:pStyle w:val="ChartSubtitle"/>
              <w:rPr>
                <w:b/>
                <w:bCs/>
                <w:szCs w:val="20"/>
              </w:rPr>
            </w:pPr>
            <w:r w:rsidRPr="004462A4">
              <w:rPr>
                <w:b/>
                <w:bCs/>
                <w:szCs w:val="20"/>
              </w:rPr>
              <w:lastRenderedPageBreak/>
              <w:t>Potential for New Learning</w:t>
            </w:r>
          </w:p>
          <w:p w14:paraId="5F1CA81E" w14:textId="1C26CD43" w:rsidR="00D113D7" w:rsidRPr="004462A4" w:rsidRDefault="00D113D7" w:rsidP="00D113D7">
            <w:pPr>
              <w:pStyle w:val="ChartSubtitle"/>
              <w:rPr>
                <w:b/>
                <w:bCs/>
                <w:szCs w:val="20"/>
              </w:rPr>
            </w:pPr>
          </w:p>
        </w:tc>
        <w:tc>
          <w:tcPr>
            <w:tcW w:w="4028" w:type="pct"/>
          </w:tcPr>
          <w:p w14:paraId="02D175E5" w14:textId="63029FFC" w:rsidR="008239C7" w:rsidRPr="00CF3D97" w:rsidRDefault="008461A3" w:rsidP="00FE4F59">
            <w:pPr>
              <w:pStyle w:val="ChartSubtitle"/>
              <w:rPr>
                <w:rFonts w:cstheme="minorHAnsi"/>
                <w:color w:val="auto"/>
                <w:sz w:val="22"/>
              </w:rPr>
            </w:pPr>
            <w:r w:rsidRPr="00CF3D97">
              <w:rPr>
                <w:rFonts w:cstheme="minorHAnsi"/>
                <w:color w:val="auto"/>
                <w:sz w:val="22"/>
              </w:rPr>
              <w:t>Through customer feedback, surveys, and case studies we expect to</w:t>
            </w:r>
            <w:r w:rsidR="00870999" w:rsidRPr="00CF3D97">
              <w:rPr>
                <w:rFonts w:cstheme="minorHAnsi"/>
                <w:color w:val="auto"/>
                <w:sz w:val="22"/>
              </w:rPr>
              <w:t xml:space="preserve"> </w:t>
            </w:r>
            <w:r w:rsidRPr="00CF3D97">
              <w:rPr>
                <w:rFonts w:cstheme="minorHAnsi"/>
                <w:color w:val="auto"/>
                <w:sz w:val="22"/>
              </w:rPr>
              <w:t xml:space="preserve">understand how effective one-to-one </w:t>
            </w:r>
            <w:r w:rsidR="008239C7" w:rsidRPr="00CF3D97">
              <w:rPr>
                <w:rFonts w:cstheme="minorHAnsi"/>
                <w:color w:val="auto"/>
                <w:sz w:val="22"/>
              </w:rPr>
              <w:t xml:space="preserve">and group </w:t>
            </w:r>
            <w:r w:rsidRPr="00CF3D97">
              <w:rPr>
                <w:rFonts w:cstheme="minorHAnsi"/>
                <w:color w:val="auto"/>
                <w:sz w:val="22"/>
              </w:rPr>
              <w:t>discussions</w:t>
            </w:r>
            <w:r w:rsidR="008239C7" w:rsidRPr="00CF3D97">
              <w:rPr>
                <w:rFonts w:cstheme="minorHAnsi"/>
                <w:color w:val="auto"/>
                <w:sz w:val="22"/>
              </w:rPr>
              <w:t xml:space="preserve"> </w:t>
            </w:r>
            <w:r w:rsidR="00FE4F59" w:rsidRPr="00CF3D97">
              <w:rPr>
                <w:rFonts w:cstheme="minorHAnsi"/>
                <w:color w:val="auto"/>
                <w:sz w:val="22"/>
              </w:rPr>
              <w:t xml:space="preserve">with cost-of-living related support including energy efficiency and income maximisation advice to reduce fuel poverty alongside PSR, CO, and gas safety guidance can further improve </w:t>
            </w:r>
            <w:r w:rsidR="00F16D70" w:rsidRPr="00CF3D97">
              <w:rPr>
                <w:rFonts w:cstheme="minorHAnsi"/>
                <w:color w:val="auto"/>
                <w:sz w:val="22"/>
              </w:rPr>
              <w:t>people's</w:t>
            </w:r>
            <w:r w:rsidR="00FE4F59" w:rsidRPr="00CF3D97">
              <w:rPr>
                <w:rFonts w:cstheme="minorHAnsi"/>
                <w:color w:val="auto"/>
                <w:sz w:val="22"/>
              </w:rPr>
              <w:t xml:space="preserve"> quality of life.</w:t>
            </w:r>
          </w:p>
          <w:p w14:paraId="1880F2A0" w14:textId="77777777" w:rsidR="00FE4F59" w:rsidRPr="00CF3D97" w:rsidRDefault="00FE4F59" w:rsidP="00FE4F59">
            <w:pPr>
              <w:pStyle w:val="ChartSubtitle"/>
              <w:rPr>
                <w:rFonts w:cstheme="minorHAnsi"/>
                <w:color w:val="auto"/>
                <w:sz w:val="22"/>
              </w:rPr>
            </w:pPr>
          </w:p>
          <w:p w14:paraId="38FDC9FE" w14:textId="330A4491" w:rsidR="00F16D70" w:rsidRPr="00CF3D97" w:rsidRDefault="00F16D70" w:rsidP="00FE4F59">
            <w:pPr>
              <w:pStyle w:val="ChartSubtitle"/>
              <w:rPr>
                <w:color w:val="auto"/>
                <w:sz w:val="22"/>
              </w:rPr>
            </w:pPr>
            <w:r w:rsidRPr="00CF3D97">
              <w:rPr>
                <w:color w:val="auto"/>
                <w:sz w:val="22"/>
              </w:rPr>
              <w:t xml:space="preserve">The opportunity to work with specialist partners at YMCA will provide the GDNs the chance to continue to learn: </w:t>
            </w:r>
          </w:p>
          <w:p w14:paraId="65A1C687" w14:textId="77777777" w:rsidR="00DA4517" w:rsidRPr="00CF3D97" w:rsidRDefault="00DA4517" w:rsidP="00FE4F59">
            <w:pPr>
              <w:pStyle w:val="ChartSubtitle"/>
              <w:rPr>
                <w:color w:val="auto"/>
                <w:sz w:val="22"/>
              </w:rPr>
            </w:pPr>
          </w:p>
          <w:p w14:paraId="145CAE36" w14:textId="3BAEE7EC" w:rsidR="00F16D70" w:rsidRPr="00CF3D97" w:rsidRDefault="00F16D70" w:rsidP="004D2507">
            <w:pPr>
              <w:pStyle w:val="ChartSubtitle"/>
              <w:numPr>
                <w:ilvl w:val="0"/>
                <w:numId w:val="39"/>
              </w:numPr>
              <w:rPr>
                <w:color w:val="auto"/>
                <w:sz w:val="22"/>
              </w:rPr>
            </w:pPr>
            <w:r w:rsidRPr="00CF3D97">
              <w:rPr>
                <w:color w:val="auto"/>
                <w:sz w:val="22"/>
              </w:rPr>
              <w:t xml:space="preserve">What approaches are the most effective for engaging young adults who stand to benefit most from safety messaging and advice </w:t>
            </w:r>
          </w:p>
          <w:p w14:paraId="5BC6052D" w14:textId="0D7E4B6F" w:rsidR="00F16D70" w:rsidRPr="00CF3D97" w:rsidRDefault="00F16D70" w:rsidP="004D2507">
            <w:pPr>
              <w:pStyle w:val="ChartSubtitle"/>
              <w:numPr>
                <w:ilvl w:val="0"/>
                <w:numId w:val="39"/>
              </w:numPr>
              <w:rPr>
                <w:color w:val="auto"/>
                <w:sz w:val="22"/>
              </w:rPr>
            </w:pPr>
            <w:r w:rsidRPr="00CF3D97">
              <w:rPr>
                <w:color w:val="auto"/>
                <w:sz w:val="22"/>
              </w:rPr>
              <w:t xml:space="preserve">Which resource and training is the most effective and engaging for young adults </w:t>
            </w:r>
          </w:p>
          <w:p w14:paraId="31EBEEA4" w14:textId="3CBF8EBE" w:rsidR="00FE4F59" w:rsidRPr="00CF3D97" w:rsidRDefault="00F16D70" w:rsidP="004D2507">
            <w:pPr>
              <w:pStyle w:val="ChartSubtitle"/>
              <w:numPr>
                <w:ilvl w:val="0"/>
                <w:numId w:val="39"/>
              </w:numPr>
              <w:rPr>
                <w:rFonts w:cstheme="minorHAnsi"/>
                <w:color w:val="auto"/>
                <w:sz w:val="22"/>
              </w:rPr>
            </w:pPr>
            <w:r w:rsidRPr="00CF3D97">
              <w:rPr>
                <w:color w:val="auto"/>
                <w:sz w:val="22"/>
              </w:rPr>
              <w:t>Learn energy-saving tips from families</w:t>
            </w:r>
            <w:r w:rsidR="00C403F1" w:rsidRPr="00CF3D97">
              <w:rPr>
                <w:color w:val="auto"/>
                <w:sz w:val="22"/>
              </w:rPr>
              <w:t>/individuals</w:t>
            </w:r>
            <w:r w:rsidRPr="00CF3D97">
              <w:rPr>
                <w:color w:val="auto"/>
                <w:sz w:val="22"/>
              </w:rPr>
              <w:t xml:space="preserve"> going through fuel poverty</w:t>
            </w:r>
          </w:p>
          <w:p w14:paraId="696A7989" w14:textId="12337B65" w:rsidR="00FE4F59" w:rsidRPr="00CF3D97" w:rsidRDefault="00FE4F59" w:rsidP="00FE4F59">
            <w:pPr>
              <w:pStyle w:val="ChartSubtitle"/>
              <w:rPr>
                <w:rFonts w:cstheme="minorHAnsi"/>
                <w:color w:val="auto"/>
                <w:szCs w:val="20"/>
              </w:rPr>
            </w:pPr>
          </w:p>
        </w:tc>
      </w:tr>
      <w:tr w:rsidR="001A0F9B" w:rsidRPr="004462A4" w14:paraId="3D2FCB23" w14:textId="77777777" w:rsidTr="00E24930">
        <w:trPr>
          <w:trHeight w:val="239"/>
        </w:trPr>
        <w:tc>
          <w:tcPr>
            <w:tcW w:w="972" w:type="pct"/>
          </w:tcPr>
          <w:p w14:paraId="7FCFE9B7" w14:textId="4A4B8D41" w:rsidR="00D113D7" w:rsidRPr="004462A4" w:rsidRDefault="00D113D7" w:rsidP="00D113D7">
            <w:pPr>
              <w:pStyle w:val="ChartSubtitle"/>
              <w:rPr>
                <w:b/>
                <w:bCs/>
                <w:szCs w:val="20"/>
              </w:rPr>
            </w:pPr>
            <w:r w:rsidRPr="004462A4">
              <w:rPr>
                <w:b/>
                <w:bCs/>
                <w:szCs w:val="20"/>
              </w:rPr>
              <w:t xml:space="preserve">Scale of VCMA Project and SROI Calculations </w:t>
            </w:r>
          </w:p>
          <w:p w14:paraId="16D3F415" w14:textId="089CBB73" w:rsidR="00D113D7" w:rsidRPr="004462A4" w:rsidRDefault="00D113D7" w:rsidP="00D113D7">
            <w:pPr>
              <w:pStyle w:val="ChartSubtitle"/>
              <w:rPr>
                <w:b/>
                <w:bCs/>
                <w:szCs w:val="20"/>
              </w:rPr>
            </w:pPr>
          </w:p>
        </w:tc>
        <w:tc>
          <w:tcPr>
            <w:tcW w:w="4028" w:type="pct"/>
          </w:tcPr>
          <w:p w14:paraId="4F982900" w14:textId="59738F30" w:rsidR="008B164C" w:rsidRPr="00CF3D97" w:rsidRDefault="00DA4517" w:rsidP="00D87930">
            <w:pPr>
              <w:pStyle w:val="ChartSubtitle"/>
              <w:rPr>
                <w:rFonts w:cstheme="minorHAnsi"/>
                <w:color w:val="auto"/>
                <w:sz w:val="22"/>
                <w:u w:val="single"/>
              </w:rPr>
            </w:pPr>
            <w:r w:rsidRPr="00CF3D97">
              <w:rPr>
                <w:rFonts w:cstheme="minorHAnsi"/>
                <w:color w:val="auto"/>
                <w:sz w:val="22"/>
                <w:u w:val="single"/>
              </w:rPr>
              <w:t>The scale</w:t>
            </w:r>
            <w:r w:rsidR="003B4131" w:rsidRPr="00CF3D97">
              <w:rPr>
                <w:rFonts w:cstheme="minorHAnsi"/>
                <w:color w:val="auto"/>
                <w:sz w:val="22"/>
                <w:u w:val="single"/>
              </w:rPr>
              <w:t xml:space="preserve"> of VCMA project</w:t>
            </w:r>
          </w:p>
          <w:p w14:paraId="383309EF" w14:textId="77777777" w:rsidR="003B4131" w:rsidRPr="00CF3D97" w:rsidRDefault="003B4131" w:rsidP="00D87930">
            <w:pPr>
              <w:pStyle w:val="ChartSubtitle"/>
              <w:rPr>
                <w:rFonts w:cstheme="minorHAnsi"/>
                <w:color w:val="auto"/>
                <w:sz w:val="22"/>
              </w:rPr>
            </w:pPr>
          </w:p>
          <w:p w14:paraId="43C766A4" w14:textId="1BF8EED1" w:rsidR="000A179D" w:rsidRPr="00CF3D97" w:rsidRDefault="000A179D" w:rsidP="00D87930">
            <w:pPr>
              <w:pStyle w:val="ChartSubtitle"/>
              <w:rPr>
                <w:rFonts w:cstheme="minorHAnsi"/>
                <w:color w:val="auto"/>
                <w:sz w:val="22"/>
              </w:rPr>
            </w:pPr>
            <w:r w:rsidRPr="00CF3D97">
              <w:rPr>
                <w:color w:val="auto"/>
                <w:sz w:val="22"/>
              </w:rPr>
              <w:t xml:space="preserve">The </w:t>
            </w:r>
            <w:r w:rsidR="00DA4517" w:rsidRPr="00CF3D97">
              <w:rPr>
                <w:color w:val="auto"/>
                <w:sz w:val="22"/>
              </w:rPr>
              <w:t>GDNs</w:t>
            </w:r>
            <w:r w:rsidRPr="00CF3D97">
              <w:rPr>
                <w:color w:val="auto"/>
                <w:sz w:val="22"/>
              </w:rPr>
              <w:t xml:space="preserve"> will invest </w:t>
            </w:r>
            <w:r w:rsidR="003D1EAE">
              <w:rPr>
                <w:rFonts w:cstheme="minorHAnsi"/>
                <w:color w:val="auto"/>
                <w:sz w:val="22"/>
              </w:rPr>
              <w:t>£1,392,800.00</w:t>
            </w:r>
            <w:r w:rsidRPr="00CF3D97">
              <w:rPr>
                <w:color w:val="auto"/>
                <w:sz w:val="22"/>
              </w:rPr>
              <w:t xml:space="preserve"> in partnership with YMCA. This VCMA project will be delivered across </w:t>
            </w:r>
            <w:r w:rsidR="00F272A2" w:rsidRPr="00CF3D97">
              <w:rPr>
                <w:color w:val="auto"/>
                <w:sz w:val="22"/>
              </w:rPr>
              <w:t>1</w:t>
            </w:r>
            <w:r w:rsidR="00EB1B51" w:rsidRPr="00CF3D97">
              <w:rPr>
                <w:color w:val="auto"/>
                <w:sz w:val="22"/>
              </w:rPr>
              <w:t>4</w:t>
            </w:r>
            <w:r w:rsidR="003B24C0" w:rsidRPr="00CF3D97">
              <w:rPr>
                <w:color w:val="auto"/>
                <w:sz w:val="22"/>
              </w:rPr>
              <w:t xml:space="preserve"> </w:t>
            </w:r>
            <w:r w:rsidRPr="00CF3D97">
              <w:rPr>
                <w:color w:val="auto"/>
                <w:sz w:val="22"/>
              </w:rPr>
              <w:t>months</w:t>
            </w:r>
            <w:r w:rsidR="006E76EC" w:rsidRPr="00CF3D97">
              <w:rPr>
                <w:color w:val="auto"/>
                <w:sz w:val="22"/>
              </w:rPr>
              <w:t xml:space="preserve">, with a </w:t>
            </w:r>
            <w:r w:rsidR="00EB1B51" w:rsidRPr="00CF3D97">
              <w:rPr>
                <w:color w:val="auto"/>
                <w:sz w:val="22"/>
              </w:rPr>
              <w:t>two</w:t>
            </w:r>
            <w:r w:rsidR="003D5EB7" w:rsidRPr="00CF3D97">
              <w:rPr>
                <w:color w:val="auto"/>
                <w:sz w:val="22"/>
              </w:rPr>
              <w:t>-month</w:t>
            </w:r>
            <w:r w:rsidR="006E76EC" w:rsidRPr="00CF3D97">
              <w:rPr>
                <w:color w:val="auto"/>
                <w:sz w:val="22"/>
              </w:rPr>
              <w:t xml:space="preserve"> mobilisation period</w:t>
            </w:r>
            <w:r w:rsidRPr="00CF3D97">
              <w:rPr>
                <w:color w:val="auto"/>
                <w:sz w:val="22"/>
              </w:rPr>
              <w:t xml:space="preserve">. The project will support </w:t>
            </w:r>
            <w:r w:rsidR="00B03E72" w:rsidRPr="00CF3D97">
              <w:rPr>
                <w:color w:val="auto"/>
                <w:sz w:val="22"/>
              </w:rPr>
              <w:t>227,366</w:t>
            </w:r>
            <w:r w:rsidRPr="00CF3D97">
              <w:rPr>
                <w:color w:val="auto"/>
                <w:sz w:val="22"/>
              </w:rPr>
              <w:t xml:space="preserve"> individuals with a range of services across Cadent'</w:t>
            </w:r>
            <w:r w:rsidR="00FC7F9B" w:rsidRPr="00CF3D97">
              <w:rPr>
                <w:color w:val="auto"/>
                <w:sz w:val="22"/>
              </w:rPr>
              <w:t>s, WWU</w:t>
            </w:r>
            <w:r w:rsidR="003D5EB7" w:rsidRPr="00CF3D97">
              <w:rPr>
                <w:color w:val="auto"/>
                <w:sz w:val="22"/>
              </w:rPr>
              <w:t>,</w:t>
            </w:r>
            <w:r w:rsidR="00FC7F9B" w:rsidRPr="00CF3D97">
              <w:rPr>
                <w:color w:val="auto"/>
                <w:sz w:val="22"/>
              </w:rPr>
              <w:t xml:space="preserve"> and </w:t>
            </w:r>
            <w:r w:rsidR="002460F6" w:rsidRPr="00CF3D97">
              <w:rPr>
                <w:color w:val="auto"/>
                <w:sz w:val="22"/>
              </w:rPr>
              <w:t>SGN’s</w:t>
            </w:r>
            <w:r w:rsidRPr="00CF3D97">
              <w:rPr>
                <w:color w:val="auto"/>
                <w:sz w:val="22"/>
              </w:rPr>
              <w:t xml:space="preserve"> networks</w:t>
            </w:r>
            <w:r w:rsidR="003963BA" w:rsidRPr="00CF3D97">
              <w:rPr>
                <w:color w:val="auto"/>
                <w:sz w:val="22"/>
              </w:rPr>
              <w:t>.</w:t>
            </w:r>
          </w:p>
          <w:p w14:paraId="269445BD" w14:textId="214418A3" w:rsidR="00BA47B5" w:rsidRPr="00CF3D97" w:rsidRDefault="00BA47B5" w:rsidP="00D87930">
            <w:pPr>
              <w:pStyle w:val="ChartSubtitle"/>
              <w:rPr>
                <w:rFonts w:cstheme="minorHAnsi"/>
                <w:color w:val="auto"/>
                <w:sz w:val="22"/>
              </w:rPr>
            </w:pPr>
          </w:p>
          <w:p w14:paraId="4C71E8CD" w14:textId="7FD8888C" w:rsidR="00BA47B5" w:rsidRPr="00CF3D97" w:rsidRDefault="00BA47B5" w:rsidP="00D87930">
            <w:pPr>
              <w:pStyle w:val="ChartSubtitle"/>
              <w:rPr>
                <w:rFonts w:cstheme="minorHAnsi"/>
                <w:color w:val="auto"/>
                <w:sz w:val="22"/>
                <w:u w:val="single"/>
              </w:rPr>
            </w:pPr>
            <w:r w:rsidRPr="00CF3D97">
              <w:rPr>
                <w:rFonts w:cstheme="minorHAnsi"/>
                <w:color w:val="auto"/>
                <w:sz w:val="22"/>
                <w:u w:val="single"/>
              </w:rPr>
              <w:t>SROI Summary</w:t>
            </w:r>
          </w:p>
          <w:p w14:paraId="26B4AD39" w14:textId="56422B91" w:rsidR="00312246" w:rsidRPr="00CF3D97" w:rsidRDefault="00312246" w:rsidP="00D87930">
            <w:pPr>
              <w:pStyle w:val="ChartSubtitle"/>
              <w:rPr>
                <w:rFonts w:cstheme="minorHAnsi"/>
                <w:color w:val="auto"/>
                <w:sz w:val="22"/>
                <w:u w:val="single"/>
              </w:rPr>
            </w:pPr>
          </w:p>
          <w:p w14:paraId="0E23DBFC" w14:textId="61500046" w:rsidR="00BA47B5" w:rsidRDefault="00BA47B5" w:rsidP="00D87930">
            <w:pPr>
              <w:pStyle w:val="ChartSubtitle"/>
              <w:rPr>
                <w:rFonts w:cstheme="minorHAnsi"/>
                <w:color w:val="auto"/>
                <w:sz w:val="22"/>
              </w:rPr>
            </w:pPr>
            <w:r w:rsidRPr="00CF3D97">
              <w:rPr>
                <w:rFonts w:cstheme="minorHAnsi"/>
                <w:color w:val="auto"/>
                <w:sz w:val="22"/>
              </w:rPr>
              <w:t xml:space="preserve">Investment = </w:t>
            </w:r>
            <w:r w:rsidR="003D1EAE">
              <w:rPr>
                <w:rFonts w:cstheme="minorHAnsi"/>
                <w:color w:val="auto"/>
                <w:sz w:val="22"/>
              </w:rPr>
              <w:t>£1,392,800.00</w:t>
            </w:r>
          </w:p>
          <w:p w14:paraId="34FAA971" w14:textId="77777777" w:rsidR="0085088E" w:rsidRDefault="0085088E" w:rsidP="00D87930">
            <w:pPr>
              <w:pStyle w:val="ChartSubtitle"/>
              <w:rPr>
                <w:rFonts w:cstheme="minorHAnsi"/>
                <w:color w:val="auto"/>
                <w:sz w:val="22"/>
              </w:rPr>
            </w:pPr>
          </w:p>
          <w:p w14:paraId="20A025DB" w14:textId="0DA5A7E5" w:rsidR="0085088E" w:rsidRDefault="0085088E" w:rsidP="00D87930">
            <w:pPr>
              <w:pStyle w:val="ChartSubtitle"/>
              <w:rPr>
                <w:rFonts w:cstheme="minorHAnsi"/>
                <w:color w:val="auto"/>
                <w:sz w:val="22"/>
              </w:rPr>
            </w:pPr>
            <w:r>
              <w:rPr>
                <w:rFonts w:cstheme="minorHAnsi"/>
                <w:color w:val="auto"/>
                <w:sz w:val="22"/>
              </w:rPr>
              <w:t>Gross Present Value = £</w:t>
            </w:r>
            <w:r w:rsidR="00655E7D">
              <w:rPr>
                <w:rFonts w:cstheme="minorHAnsi"/>
                <w:color w:val="auto"/>
                <w:sz w:val="22"/>
              </w:rPr>
              <w:t>28,981,973.91</w:t>
            </w:r>
          </w:p>
          <w:p w14:paraId="49C8A14F" w14:textId="567F4753" w:rsidR="0085088E" w:rsidRDefault="0085088E" w:rsidP="00D87930">
            <w:pPr>
              <w:pStyle w:val="ChartSubtitle"/>
              <w:rPr>
                <w:rFonts w:cstheme="minorHAnsi"/>
                <w:color w:val="auto"/>
                <w:sz w:val="22"/>
              </w:rPr>
            </w:pPr>
            <w:r>
              <w:rPr>
                <w:rFonts w:cstheme="minorHAnsi"/>
                <w:color w:val="auto"/>
                <w:sz w:val="22"/>
              </w:rPr>
              <w:t>Net Present value = £</w:t>
            </w:r>
            <w:r w:rsidR="00655E7D">
              <w:rPr>
                <w:rFonts w:cstheme="minorHAnsi"/>
                <w:color w:val="auto"/>
                <w:sz w:val="22"/>
              </w:rPr>
              <w:t>27,589,173.19</w:t>
            </w:r>
          </w:p>
          <w:p w14:paraId="7A5FE17A" w14:textId="77777777" w:rsidR="0085088E" w:rsidRDefault="0085088E" w:rsidP="00D87930">
            <w:pPr>
              <w:pStyle w:val="ChartSubtitle"/>
              <w:rPr>
                <w:rFonts w:cstheme="minorHAnsi"/>
                <w:color w:val="auto"/>
                <w:sz w:val="22"/>
              </w:rPr>
            </w:pPr>
          </w:p>
          <w:p w14:paraId="55E38AD3" w14:textId="72F5AC84" w:rsidR="0085088E" w:rsidRDefault="0085088E" w:rsidP="00D87930">
            <w:pPr>
              <w:pStyle w:val="ChartSubtitle"/>
              <w:rPr>
                <w:rFonts w:cstheme="minorHAnsi"/>
                <w:color w:val="auto"/>
                <w:sz w:val="22"/>
              </w:rPr>
            </w:pPr>
            <w:r>
              <w:rPr>
                <w:rFonts w:cstheme="minorHAnsi"/>
                <w:color w:val="auto"/>
                <w:sz w:val="22"/>
              </w:rPr>
              <w:t>Ratio: £1:</w:t>
            </w:r>
            <w:r w:rsidR="0069482D">
              <w:rPr>
                <w:rFonts w:cstheme="minorHAnsi"/>
                <w:color w:val="auto"/>
                <w:sz w:val="22"/>
              </w:rPr>
              <w:t>19.81</w:t>
            </w:r>
          </w:p>
          <w:p w14:paraId="7231F23B" w14:textId="77777777" w:rsidR="00312246" w:rsidRPr="00CF3D97" w:rsidRDefault="00312246" w:rsidP="00D87930">
            <w:pPr>
              <w:pStyle w:val="ChartSubtitle"/>
              <w:rPr>
                <w:rFonts w:cstheme="minorHAnsi"/>
                <w:color w:val="auto"/>
                <w:szCs w:val="20"/>
              </w:rPr>
            </w:pPr>
          </w:p>
          <w:p w14:paraId="5C477A68" w14:textId="34707A39" w:rsidR="00BA47B5" w:rsidRPr="00CF3D97" w:rsidRDefault="00BA47B5" w:rsidP="00D87930">
            <w:pPr>
              <w:pStyle w:val="ChartSubtitle"/>
              <w:rPr>
                <w:rFonts w:cstheme="minorHAnsi"/>
                <w:color w:val="auto"/>
                <w:szCs w:val="20"/>
              </w:rPr>
            </w:pPr>
          </w:p>
        </w:tc>
      </w:tr>
      <w:tr w:rsidR="001A0F9B" w:rsidRPr="004462A4" w14:paraId="04490576" w14:textId="77777777" w:rsidTr="00E24930">
        <w:trPr>
          <w:trHeight w:val="228"/>
        </w:trPr>
        <w:tc>
          <w:tcPr>
            <w:tcW w:w="972" w:type="pct"/>
          </w:tcPr>
          <w:p w14:paraId="26B45442" w14:textId="1B1E0E0F" w:rsidR="00D113D7" w:rsidRPr="004462A4" w:rsidRDefault="00D113D7" w:rsidP="00D113D7">
            <w:pPr>
              <w:pStyle w:val="ChartSubtitle"/>
              <w:rPr>
                <w:b/>
                <w:bCs/>
                <w:szCs w:val="20"/>
              </w:rPr>
            </w:pPr>
            <w:r w:rsidRPr="004462A4">
              <w:rPr>
                <w:b/>
                <w:bCs/>
                <w:szCs w:val="20"/>
              </w:rPr>
              <w:t>VCMA Project Start and End Date</w:t>
            </w:r>
          </w:p>
          <w:p w14:paraId="6D90D202" w14:textId="6646017F" w:rsidR="00D113D7" w:rsidRPr="004462A4" w:rsidRDefault="00D113D7" w:rsidP="00D113D7">
            <w:pPr>
              <w:pStyle w:val="ChartSubtitle"/>
              <w:rPr>
                <w:b/>
                <w:bCs/>
                <w:szCs w:val="20"/>
              </w:rPr>
            </w:pPr>
          </w:p>
        </w:tc>
        <w:tc>
          <w:tcPr>
            <w:tcW w:w="4028" w:type="pct"/>
          </w:tcPr>
          <w:p w14:paraId="778F0460" w14:textId="0CF5ABA2" w:rsidR="009D069B" w:rsidRPr="00CF3D97" w:rsidRDefault="00AC7C59" w:rsidP="00D113D7">
            <w:pPr>
              <w:pStyle w:val="ChartSubtitle"/>
              <w:rPr>
                <w:rFonts w:cstheme="minorHAnsi"/>
                <w:color w:val="auto"/>
                <w:sz w:val="22"/>
              </w:rPr>
            </w:pPr>
            <w:r w:rsidRPr="00CF3D97">
              <w:rPr>
                <w:rFonts w:cstheme="minorHAnsi"/>
                <w:color w:val="auto"/>
                <w:sz w:val="22"/>
              </w:rPr>
              <w:t>VCMA Project Start Date:</w:t>
            </w:r>
            <w:r w:rsidR="005369DD">
              <w:rPr>
                <w:rFonts w:cstheme="minorHAnsi"/>
                <w:color w:val="auto"/>
                <w:sz w:val="22"/>
              </w:rPr>
              <w:t xml:space="preserve"> </w:t>
            </w:r>
            <w:r w:rsidR="00BD6C90" w:rsidRPr="00CF3D97">
              <w:rPr>
                <w:rFonts w:cstheme="minorHAnsi"/>
                <w:color w:val="auto"/>
                <w:sz w:val="22"/>
              </w:rPr>
              <w:t>0</w:t>
            </w:r>
            <w:r w:rsidR="003B24C0" w:rsidRPr="00CF3D97">
              <w:rPr>
                <w:rFonts w:cstheme="minorHAnsi"/>
                <w:color w:val="auto"/>
                <w:sz w:val="22"/>
              </w:rPr>
              <w:t>2</w:t>
            </w:r>
            <w:r w:rsidR="00BD6C90" w:rsidRPr="00CF3D97">
              <w:rPr>
                <w:rFonts w:cstheme="minorHAnsi"/>
                <w:color w:val="auto"/>
                <w:sz w:val="22"/>
              </w:rPr>
              <w:t>/01/2025</w:t>
            </w:r>
            <w:r w:rsidRPr="00CF3D97">
              <w:rPr>
                <w:rFonts w:cstheme="minorHAnsi"/>
                <w:color w:val="auto"/>
                <w:sz w:val="22"/>
              </w:rPr>
              <w:t xml:space="preserve"> </w:t>
            </w:r>
          </w:p>
          <w:p w14:paraId="68B402CB" w14:textId="0D9319BE" w:rsidR="00AC7C59" w:rsidRPr="00CF3D97" w:rsidRDefault="00AC7C59" w:rsidP="00D113D7">
            <w:pPr>
              <w:pStyle w:val="ChartSubtitle"/>
              <w:rPr>
                <w:rFonts w:cstheme="minorHAnsi"/>
                <w:color w:val="auto"/>
                <w:sz w:val="22"/>
              </w:rPr>
            </w:pPr>
            <w:r w:rsidRPr="00CF3D97">
              <w:rPr>
                <w:rFonts w:cstheme="minorHAnsi"/>
                <w:color w:val="auto"/>
                <w:sz w:val="22"/>
              </w:rPr>
              <w:t xml:space="preserve">VCMA Project End Date: </w:t>
            </w:r>
            <w:r w:rsidR="003B24C0" w:rsidRPr="00CF3D97">
              <w:rPr>
                <w:rFonts w:cstheme="minorHAnsi"/>
                <w:color w:val="auto"/>
                <w:sz w:val="22"/>
              </w:rPr>
              <w:t>28</w:t>
            </w:r>
            <w:r w:rsidR="00076A63" w:rsidRPr="00CF3D97">
              <w:rPr>
                <w:rFonts w:cstheme="minorHAnsi"/>
                <w:color w:val="auto"/>
                <w:sz w:val="22"/>
              </w:rPr>
              <w:t>/0</w:t>
            </w:r>
            <w:r w:rsidR="003B24C0" w:rsidRPr="00CF3D97">
              <w:rPr>
                <w:rFonts w:cstheme="minorHAnsi"/>
                <w:color w:val="auto"/>
                <w:sz w:val="22"/>
              </w:rPr>
              <w:t>2</w:t>
            </w:r>
            <w:r w:rsidR="00076A63" w:rsidRPr="00CF3D97">
              <w:rPr>
                <w:rFonts w:cstheme="minorHAnsi"/>
                <w:color w:val="auto"/>
                <w:sz w:val="22"/>
              </w:rPr>
              <w:t>/2026</w:t>
            </w:r>
          </w:p>
          <w:p w14:paraId="67D57DD3" w14:textId="1DA48259" w:rsidR="00D113D7" w:rsidRPr="00CF3D97" w:rsidRDefault="00D113D7" w:rsidP="00D113D7">
            <w:pPr>
              <w:pStyle w:val="ChartSubtitle"/>
              <w:rPr>
                <w:rFonts w:cstheme="minorHAnsi"/>
                <w:color w:val="auto"/>
                <w:szCs w:val="20"/>
              </w:rPr>
            </w:pPr>
          </w:p>
        </w:tc>
      </w:tr>
      <w:tr w:rsidR="001A0F9B" w:rsidRPr="004462A4" w14:paraId="4DB47464" w14:textId="77777777" w:rsidTr="00E24930">
        <w:trPr>
          <w:trHeight w:val="239"/>
        </w:trPr>
        <w:tc>
          <w:tcPr>
            <w:tcW w:w="972" w:type="pct"/>
          </w:tcPr>
          <w:p w14:paraId="007C0A1E" w14:textId="5B294B73" w:rsidR="00D113D7" w:rsidRPr="004462A4" w:rsidRDefault="00D113D7" w:rsidP="00D113D7">
            <w:pPr>
              <w:pStyle w:val="ChartSubtitle"/>
              <w:rPr>
                <w:b/>
                <w:bCs/>
                <w:szCs w:val="20"/>
              </w:rPr>
            </w:pPr>
            <w:r w:rsidRPr="004462A4">
              <w:rPr>
                <w:b/>
                <w:bCs/>
                <w:szCs w:val="20"/>
              </w:rPr>
              <w:t>Geographical Area</w:t>
            </w:r>
          </w:p>
          <w:p w14:paraId="00633260" w14:textId="6F1129C3" w:rsidR="00D113D7" w:rsidRPr="004462A4" w:rsidRDefault="00D113D7" w:rsidP="00D113D7">
            <w:pPr>
              <w:pStyle w:val="ChartSubtitle"/>
              <w:rPr>
                <w:b/>
                <w:bCs/>
                <w:szCs w:val="20"/>
              </w:rPr>
            </w:pPr>
          </w:p>
        </w:tc>
        <w:tc>
          <w:tcPr>
            <w:tcW w:w="4028" w:type="pct"/>
          </w:tcPr>
          <w:p w14:paraId="2E8C6944" w14:textId="2269091D" w:rsidR="00F822F3" w:rsidRPr="00CF3D97" w:rsidRDefault="00F822F3" w:rsidP="003C05F5">
            <w:pPr>
              <w:rPr>
                <w:rFonts w:cstheme="minorHAnsi"/>
                <w:color w:val="auto"/>
                <w:sz w:val="22"/>
              </w:rPr>
            </w:pPr>
            <w:r w:rsidRPr="00CF3D97">
              <w:rPr>
                <w:rFonts w:cstheme="minorHAnsi"/>
                <w:color w:val="auto"/>
                <w:sz w:val="22"/>
              </w:rPr>
              <w:t>This project will be delivered across Cadent, SGN and WWU’s network areas.</w:t>
            </w:r>
          </w:p>
          <w:p w14:paraId="78902A52" w14:textId="410D1078" w:rsidR="00113D57" w:rsidRPr="00687E02" w:rsidRDefault="00113D57" w:rsidP="003C05F5">
            <w:pPr>
              <w:rPr>
                <w:rFonts w:cstheme="minorHAnsi"/>
                <w:sz w:val="20"/>
                <w:szCs w:val="20"/>
              </w:rPr>
            </w:pPr>
          </w:p>
        </w:tc>
      </w:tr>
    </w:tbl>
    <w:p w14:paraId="392FD827" w14:textId="77777777" w:rsidR="00FC76EC" w:rsidRDefault="00FC76EC" w:rsidP="00B471A1">
      <w:pPr>
        <w:rPr>
          <w:b/>
          <w:bCs/>
          <w:sz w:val="20"/>
          <w:szCs w:val="20"/>
        </w:rPr>
      </w:pPr>
    </w:p>
    <w:p w14:paraId="54F0427B" w14:textId="10E4EB9E" w:rsidR="00516CFA" w:rsidRPr="004462A4" w:rsidRDefault="004F6135" w:rsidP="00B471A1">
      <w:pPr>
        <w:rPr>
          <w:b/>
          <w:bCs/>
          <w:sz w:val="20"/>
          <w:szCs w:val="20"/>
        </w:rPr>
      </w:pPr>
      <w:r w:rsidRPr="004462A4">
        <w:rPr>
          <w:b/>
          <w:bCs/>
          <w:sz w:val="20"/>
          <w:szCs w:val="20"/>
        </w:rPr>
        <w:t xml:space="preserve">Gas Network Vulnerability and Carbon Monoxide Allowance (VCMA) Governance Document - PEA Control Table </w:t>
      </w:r>
    </w:p>
    <w:p w14:paraId="1A403F87" w14:textId="2DD1D0EC" w:rsidR="004F6135" w:rsidRPr="004462A4" w:rsidRDefault="004F6135" w:rsidP="00B471A1">
      <w:pPr>
        <w:rPr>
          <w:b/>
          <w:bCs/>
          <w:sz w:val="20"/>
          <w:szCs w:val="20"/>
        </w:rPr>
      </w:pPr>
    </w:p>
    <w:tbl>
      <w:tblPr>
        <w:tblStyle w:val="TableGrid"/>
        <w:tblW w:w="9853" w:type="dxa"/>
        <w:tblLook w:val="04A0" w:firstRow="1" w:lastRow="0" w:firstColumn="1" w:lastColumn="0" w:noHBand="0" w:noVBand="1"/>
      </w:tblPr>
      <w:tblGrid>
        <w:gridCol w:w="9882"/>
      </w:tblGrid>
      <w:tr w:rsidR="001F1209" w:rsidRPr="004462A4" w14:paraId="73D7A0E0" w14:textId="77777777" w:rsidTr="001F1209">
        <w:trPr>
          <w:trHeight w:val="687"/>
        </w:trPr>
        <w:tc>
          <w:tcPr>
            <w:tcW w:w="9853" w:type="dxa"/>
          </w:tcPr>
          <w:p w14:paraId="765FAFE9" w14:textId="77777777" w:rsidR="001F1209" w:rsidRPr="00CF3D97" w:rsidRDefault="001F1209" w:rsidP="00B471A1">
            <w:pPr>
              <w:rPr>
                <w:color w:val="auto"/>
                <w:sz w:val="20"/>
                <w:szCs w:val="20"/>
              </w:rPr>
            </w:pPr>
            <w:r w:rsidRPr="00CF3D97">
              <w:rPr>
                <w:color w:val="auto"/>
                <w:sz w:val="20"/>
                <w:szCs w:val="20"/>
              </w:rPr>
              <w:t>In order to ensure that a VCMA project is registered in accordance with the Ofgem VCMA governance document (incl. project eligibility assessment), the below table should be completed as part of the project registration process.</w:t>
            </w:r>
          </w:p>
          <w:p w14:paraId="3CA3D2B8" w14:textId="6488FD06" w:rsidR="001F1209" w:rsidRPr="00CF3D97" w:rsidRDefault="001F1209" w:rsidP="00B471A1">
            <w:pPr>
              <w:rPr>
                <w:color w:val="auto"/>
                <w:sz w:val="20"/>
                <w:szCs w:val="20"/>
              </w:rPr>
            </w:pPr>
          </w:p>
        </w:tc>
      </w:tr>
      <w:tr w:rsidR="001F1209" w:rsidRPr="004462A4" w14:paraId="269D39E3" w14:textId="77777777" w:rsidTr="00826DE5">
        <w:trPr>
          <w:trHeight w:val="3132"/>
        </w:trPr>
        <w:tc>
          <w:tcPr>
            <w:tcW w:w="9853" w:type="dxa"/>
            <w:vAlign w:val="center"/>
          </w:tcPr>
          <w:p w14:paraId="1AF3F52B" w14:textId="1C113EFA" w:rsidR="00080625" w:rsidRPr="00CF3D97" w:rsidRDefault="00080625" w:rsidP="000134A2">
            <w:pPr>
              <w:rPr>
                <w:color w:val="auto"/>
                <w:sz w:val="20"/>
                <w:szCs w:val="20"/>
              </w:rPr>
            </w:pPr>
            <w:r w:rsidRPr="00CF3D97">
              <w:rPr>
                <w:color w:val="auto"/>
                <w:sz w:val="20"/>
                <w:szCs w:val="20"/>
              </w:rPr>
              <w:t>Stage 1: GDN Collaboration Group PEA Review</w:t>
            </w:r>
          </w:p>
          <w:p w14:paraId="3891C12B" w14:textId="3D544A6F" w:rsidR="000134A2" w:rsidRPr="00CF3D97" w:rsidRDefault="000134A2" w:rsidP="000134A2">
            <w:pPr>
              <w:rPr>
                <w:color w:val="auto"/>
                <w:sz w:val="20"/>
                <w:szCs w:val="20"/>
              </w:rPr>
            </w:pPr>
            <w:r w:rsidRPr="00CF3D97">
              <w:rPr>
                <w:color w:val="auto"/>
                <w:sz w:val="20"/>
                <w:szCs w:val="20"/>
              </w:rPr>
              <w:t xml:space="preserve">Date </w:t>
            </w:r>
            <w:r w:rsidR="00643F81" w:rsidRPr="00CF3D97">
              <w:rPr>
                <w:color w:val="auto"/>
                <w:sz w:val="20"/>
                <w:szCs w:val="20"/>
              </w:rPr>
              <w:t>c</w:t>
            </w:r>
            <w:r w:rsidRPr="00CF3D97">
              <w:rPr>
                <w:color w:val="auto"/>
                <w:sz w:val="20"/>
                <w:szCs w:val="20"/>
              </w:rPr>
              <w:t xml:space="preserve">ompleted: </w:t>
            </w:r>
          </w:p>
          <w:p w14:paraId="1BBD5D9D" w14:textId="59657CE5" w:rsidR="000134A2" w:rsidRPr="00CF3D97" w:rsidRDefault="000134A2" w:rsidP="000134A2">
            <w:pPr>
              <w:rPr>
                <w:color w:val="auto"/>
                <w:sz w:val="20"/>
                <w:szCs w:val="20"/>
              </w:rPr>
            </w:pPr>
            <w:r w:rsidRPr="00CF3D97">
              <w:rPr>
                <w:color w:val="auto"/>
                <w:sz w:val="20"/>
                <w:szCs w:val="20"/>
              </w:rPr>
              <w:t xml:space="preserve">Review </w:t>
            </w:r>
            <w:r w:rsidR="00643F81" w:rsidRPr="00CF3D97">
              <w:rPr>
                <w:color w:val="auto"/>
                <w:sz w:val="20"/>
                <w:szCs w:val="20"/>
              </w:rPr>
              <w:t>c</w:t>
            </w:r>
            <w:r w:rsidRPr="00CF3D97">
              <w:rPr>
                <w:color w:val="auto"/>
                <w:sz w:val="20"/>
                <w:szCs w:val="20"/>
              </w:rPr>
              <w:t xml:space="preserve">ompleted </w:t>
            </w:r>
            <w:r w:rsidR="00826DE5" w:rsidRPr="00CF3D97">
              <w:rPr>
                <w:color w:val="auto"/>
                <w:sz w:val="20"/>
                <w:szCs w:val="20"/>
              </w:rPr>
              <w:t>b</w:t>
            </w:r>
            <w:r w:rsidRPr="00CF3D97">
              <w:rPr>
                <w:color w:val="auto"/>
                <w:sz w:val="20"/>
                <w:szCs w:val="20"/>
              </w:rPr>
              <w:t>y:</w:t>
            </w:r>
          </w:p>
          <w:tbl>
            <w:tblPr>
              <w:tblStyle w:val="TableGrid"/>
              <w:tblW w:w="9656" w:type="dxa"/>
              <w:tblLook w:val="04A0" w:firstRow="1" w:lastRow="0" w:firstColumn="1" w:lastColumn="0" w:noHBand="0" w:noVBand="1"/>
            </w:tblPr>
            <w:tblGrid>
              <w:gridCol w:w="1435"/>
              <w:gridCol w:w="8221"/>
            </w:tblGrid>
            <w:tr w:rsidR="00CF3D97" w:rsidRPr="00CF3D97" w14:paraId="5AA1FC2F" w14:textId="77777777" w:rsidTr="00080625">
              <w:trPr>
                <w:trHeight w:val="400"/>
              </w:trPr>
              <w:tc>
                <w:tcPr>
                  <w:tcW w:w="1435" w:type="dxa"/>
                </w:tcPr>
                <w:p w14:paraId="1F73EABA" w14:textId="756AC98F" w:rsidR="00492AC4" w:rsidRPr="00CF3D97" w:rsidRDefault="00080625" w:rsidP="000134A2">
                  <w:pPr>
                    <w:rPr>
                      <w:color w:val="auto"/>
                      <w:sz w:val="20"/>
                      <w:szCs w:val="20"/>
                    </w:rPr>
                  </w:pPr>
                  <w:r w:rsidRPr="00CF3D97">
                    <w:rPr>
                      <w:color w:val="auto"/>
                      <w:sz w:val="20"/>
                      <w:szCs w:val="20"/>
                    </w:rPr>
                    <w:t>GDN:</w:t>
                  </w:r>
                </w:p>
              </w:tc>
              <w:tc>
                <w:tcPr>
                  <w:tcW w:w="8221" w:type="dxa"/>
                </w:tcPr>
                <w:p w14:paraId="3D0096B2" w14:textId="11B85B39" w:rsidR="00492AC4" w:rsidRPr="00CF3D97" w:rsidRDefault="00080625" w:rsidP="000134A2">
                  <w:pPr>
                    <w:rPr>
                      <w:color w:val="auto"/>
                      <w:sz w:val="20"/>
                      <w:szCs w:val="20"/>
                    </w:rPr>
                  </w:pPr>
                  <w:r w:rsidRPr="00CF3D97">
                    <w:rPr>
                      <w:color w:val="auto"/>
                      <w:sz w:val="20"/>
                      <w:szCs w:val="20"/>
                    </w:rPr>
                    <w:t>Name(s):</w:t>
                  </w:r>
                </w:p>
              </w:tc>
            </w:tr>
            <w:tr w:rsidR="00CF3D97" w:rsidRPr="00CF3D97" w14:paraId="753403E6" w14:textId="77777777" w:rsidTr="00080625">
              <w:trPr>
                <w:trHeight w:val="400"/>
              </w:trPr>
              <w:tc>
                <w:tcPr>
                  <w:tcW w:w="1435" w:type="dxa"/>
                </w:tcPr>
                <w:p w14:paraId="332C0D79" w14:textId="119F1A30" w:rsidR="00080625" w:rsidRPr="00CF3D97" w:rsidRDefault="00080625" w:rsidP="000134A2">
                  <w:pPr>
                    <w:rPr>
                      <w:color w:val="auto"/>
                      <w:sz w:val="22"/>
                    </w:rPr>
                  </w:pPr>
                  <w:r w:rsidRPr="00CF3D97">
                    <w:rPr>
                      <w:color w:val="auto"/>
                      <w:sz w:val="22"/>
                    </w:rPr>
                    <w:t>Cadent</w:t>
                  </w:r>
                </w:p>
              </w:tc>
              <w:tc>
                <w:tcPr>
                  <w:tcW w:w="8221" w:type="dxa"/>
                </w:tcPr>
                <w:p w14:paraId="3C0DB70B" w14:textId="57020945" w:rsidR="00080625" w:rsidRPr="00CF3D97" w:rsidRDefault="008A7F79" w:rsidP="000134A2">
                  <w:pPr>
                    <w:rPr>
                      <w:color w:val="auto"/>
                      <w:sz w:val="22"/>
                    </w:rPr>
                  </w:pPr>
                  <w:r w:rsidRPr="00CF3D97">
                    <w:rPr>
                      <w:color w:val="auto"/>
                      <w:sz w:val="22"/>
                    </w:rPr>
                    <w:t>Gurvinder Dosanjh</w:t>
                  </w:r>
                  <w:r w:rsidR="00AF2306" w:rsidRPr="00CF3D97">
                    <w:rPr>
                      <w:color w:val="auto"/>
                      <w:sz w:val="22"/>
                    </w:rPr>
                    <w:t xml:space="preserve"> </w:t>
                  </w:r>
                  <w:r w:rsidRPr="00CF3D97">
                    <w:rPr>
                      <w:color w:val="auto"/>
                      <w:sz w:val="22"/>
                    </w:rPr>
                    <w:t>–</w:t>
                  </w:r>
                  <w:r w:rsidR="00CC64DA" w:rsidRPr="00CF3D97">
                    <w:rPr>
                      <w:color w:val="auto"/>
                      <w:sz w:val="22"/>
                    </w:rPr>
                    <w:t xml:space="preserve"> </w:t>
                  </w:r>
                  <w:r w:rsidRPr="00CF3D97">
                    <w:rPr>
                      <w:color w:val="auto"/>
                      <w:sz w:val="22"/>
                    </w:rPr>
                    <w:t>Social Programmes Manager</w:t>
                  </w:r>
                </w:p>
              </w:tc>
            </w:tr>
            <w:tr w:rsidR="00CF3D97" w:rsidRPr="00CF3D97" w14:paraId="6E540EB3" w14:textId="77777777" w:rsidTr="00080625">
              <w:trPr>
                <w:trHeight w:val="398"/>
              </w:trPr>
              <w:tc>
                <w:tcPr>
                  <w:tcW w:w="1435" w:type="dxa"/>
                </w:tcPr>
                <w:p w14:paraId="574C810E" w14:textId="19EAB859" w:rsidR="00492AC4" w:rsidRPr="00CF3D97" w:rsidRDefault="00632B05" w:rsidP="000134A2">
                  <w:pPr>
                    <w:rPr>
                      <w:color w:val="auto"/>
                      <w:sz w:val="22"/>
                    </w:rPr>
                  </w:pPr>
                  <w:r w:rsidRPr="00CF3D97">
                    <w:rPr>
                      <w:color w:val="auto"/>
                      <w:sz w:val="22"/>
                    </w:rPr>
                    <w:t>SGN</w:t>
                  </w:r>
                </w:p>
              </w:tc>
              <w:tc>
                <w:tcPr>
                  <w:tcW w:w="8221" w:type="dxa"/>
                </w:tcPr>
                <w:p w14:paraId="2CFFD9D2" w14:textId="1BA59396" w:rsidR="00492AC4" w:rsidRPr="00CF3D97" w:rsidRDefault="00CF3D97" w:rsidP="000134A2">
                  <w:pPr>
                    <w:rPr>
                      <w:color w:val="auto"/>
                      <w:sz w:val="22"/>
                    </w:rPr>
                  </w:pPr>
                  <w:r>
                    <w:rPr>
                      <w:color w:val="auto"/>
                      <w:sz w:val="22"/>
                    </w:rPr>
                    <w:t>Kerry Potter</w:t>
                  </w:r>
                  <w:r w:rsidR="0072662B" w:rsidRPr="00CF3D97">
                    <w:rPr>
                      <w:color w:val="auto"/>
                      <w:sz w:val="22"/>
                    </w:rPr>
                    <w:t xml:space="preserve"> </w:t>
                  </w:r>
                  <w:r>
                    <w:rPr>
                      <w:color w:val="auto"/>
                      <w:sz w:val="22"/>
                    </w:rPr>
                    <w:t>–</w:t>
                  </w:r>
                  <w:r w:rsidR="00CC64DA" w:rsidRPr="00CF3D97">
                    <w:rPr>
                      <w:color w:val="auto"/>
                      <w:sz w:val="22"/>
                    </w:rPr>
                    <w:t xml:space="preserve"> </w:t>
                  </w:r>
                  <w:r>
                    <w:rPr>
                      <w:color w:val="auto"/>
                      <w:sz w:val="22"/>
                    </w:rPr>
                    <w:t>Group Social Impact and Vulnerability Manager</w:t>
                  </w:r>
                </w:p>
              </w:tc>
            </w:tr>
            <w:tr w:rsidR="00CF3D97" w:rsidRPr="00CF3D97" w14:paraId="5568A524" w14:textId="77777777" w:rsidTr="00080625">
              <w:trPr>
                <w:trHeight w:val="432"/>
              </w:trPr>
              <w:tc>
                <w:tcPr>
                  <w:tcW w:w="1435" w:type="dxa"/>
                </w:tcPr>
                <w:p w14:paraId="29C4D8D2" w14:textId="3163C1B7" w:rsidR="00492AC4" w:rsidRPr="00CF3D97" w:rsidRDefault="00632B05" w:rsidP="000134A2">
                  <w:pPr>
                    <w:rPr>
                      <w:color w:val="auto"/>
                      <w:sz w:val="22"/>
                    </w:rPr>
                  </w:pPr>
                  <w:r w:rsidRPr="00CF3D97">
                    <w:rPr>
                      <w:color w:val="auto"/>
                      <w:sz w:val="22"/>
                    </w:rPr>
                    <w:t>WWU</w:t>
                  </w:r>
                </w:p>
              </w:tc>
              <w:tc>
                <w:tcPr>
                  <w:tcW w:w="8221" w:type="dxa"/>
                </w:tcPr>
                <w:p w14:paraId="7FBECA6D" w14:textId="0A9E94E1" w:rsidR="00492AC4" w:rsidRPr="00CF3D97" w:rsidRDefault="0072662B" w:rsidP="000134A2">
                  <w:pPr>
                    <w:rPr>
                      <w:color w:val="auto"/>
                      <w:sz w:val="22"/>
                    </w:rPr>
                  </w:pPr>
                  <w:r w:rsidRPr="00CF3D97">
                    <w:rPr>
                      <w:color w:val="auto"/>
                      <w:sz w:val="22"/>
                    </w:rPr>
                    <w:t>Nigel Winnan</w:t>
                  </w:r>
                  <w:r w:rsidR="00CC64DA" w:rsidRPr="00CF3D97">
                    <w:rPr>
                      <w:color w:val="auto"/>
                      <w:sz w:val="22"/>
                    </w:rPr>
                    <w:t xml:space="preserve"> - Head of Customer and Social Obligations</w:t>
                  </w:r>
                </w:p>
              </w:tc>
            </w:tr>
          </w:tbl>
          <w:p w14:paraId="5F64BFF8" w14:textId="77777777" w:rsidR="00492AC4" w:rsidRPr="00CF3D97" w:rsidRDefault="00492AC4" w:rsidP="000134A2">
            <w:pPr>
              <w:rPr>
                <w:color w:val="auto"/>
                <w:sz w:val="20"/>
                <w:szCs w:val="20"/>
              </w:rPr>
            </w:pPr>
          </w:p>
          <w:p w14:paraId="6998D12A" w14:textId="00417CF6" w:rsidR="001F1209" w:rsidRPr="00CF3D97" w:rsidRDefault="001F1209" w:rsidP="00B471A1">
            <w:pPr>
              <w:rPr>
                <w:color w:val="auto"/>
                <w:sz w:val="20"/>
                <w:szCs w:val="20"/>
              </w:rPr>
            </w:pPr>
          </w:p>
        </w:tc>
      </w:tr>
      <w:tr w:rsidR="001F1209" w:rsidRPr="004462A4" w14:paraId="2EE5AEB4" w14:textId="77777777" w:rsidTr="003F5080">
        <w:trPr>
          <w:trHeight w:val="540"/>
        </w:trPr>
        <w:tc>
          <w:tcPr>
            <w:tcW w:w="9853" w:type="dxa"/>
            <w:vAlign w:val="center"/>
          </w:tcPr>
          <w:p w14:paraId="58FCF4B8" w14:textId="77777777" w:rsidR="001F1209" w:rsidRPr="00CF3D97" w:rsidRDefault="001F1209" w:rsidP="00B471A1">
            <w:pPr>
              <w:rPr>
                <w:color w:val="auto"/>
                <w:sz w:val="20"/>
                <w:szCs w:val="20"/>
              </w:rPr>
            </w:pPr>
            <w:r w:rsidRPr="00CF3D97">
              <w:rPr>
                <w:color w:val="auto"/>
                <w:sz w:val="20"/>
                <w:szCs w:val="20"/>
              </w:rPr>
              <w:t xml:space="preserve">Stage 2: </w:t>
            </w:r>
            <w:r w:rsidR="002C2FCC" w:rsidRPr="00CF3D97">
              <w:rPr>
                <w:color w:val="auto"/>
                <w:sz w:val="20"/>
                <w:szCs w:val="20"/>
              </w:rPr>
              <w:t>GD2C</w:t>
            </w:r>
            <w:r w:rsidR="004543B5" w:rsidRPr="00CF3D97">
              <w:rPr>
                <w:color w:val="auto"/>
                <w:sz w:val="20"/>
                <w:szCs w:val="20"/>
              </w:rPr>
              <w:t>V</w:t>
            </w:r>
            <w:r w:rsidR="002C2FCC" w:rsidRPr="00CF3D97">
              <w:rPr>
                <w:color w:val="auto"/>
                <w:sz w:val="20"/>
                <w:szCs w:val="20"/>
              </w:rPr>
              <w:t>G</w:t>
            </w:r>
            <w:r w:rsidR="00CE4838" w:rsidRPr="00CF3D97">
              <w:rPr>
                <w:color w:val="auto"/>
                <w:sz w:val="20"/>
                <w:szCs w:val="20"/>
              </w:rPr>
              <w:t xml:space="preserve"> Panel</w:t>
            </w:r>
            <w:r w:rsidRPr="00CF3D97">
              <w:rPr>
                <w:color w:val="auto"/>
                <w:sz w:val="20"/>
                <w:szCs w:val="20"/>
              </w:rPr>
              <w:t xml:space="preserve"> Review</w:t>
            </w:r>
          </w:p>
          <w:p w14:paraId="7B451447" w14:textId="65B8649B" w:rsidR="00080625" w:rsidRPr="00CF3D97" w:rsidRDefault="00080625" w:rsidP="00080625">
            <w:pPr>
              <w:rPr>
                <w:color w:val="auto"/>
                <w:sz w:val="20"/>
                <w:szCs w:val="20"/>
              </w:rPr>
            </w:pPr>
            <w:r w:rsidRPr="00CF3D97">
              <w:rPr>
                <w:color w:val="auto"/>
                <w:sz w:val="20"/>
                <w:szCs w:val="20"/>
              </w:rPr>
              <w:t xml:space="preserve">Date </w:t>
            </w:r>
            <w:r w:rsidR="00643F81" w:rsidRPr="00CF3D97">
              <w:rPr>
                <w:color w:val="auto"/>
                <w:sz w:val="20"/>
                <w:szCs w:val="20"/>
              </w:rPr>
              <w:t>r</w:t>
            </w:r>
            <w:r w:rsidRPr="00CF3D97">
              <w:rPr>
                <w:color w:val="auto"/>
                <w:sz w:val="20"/>
                <w:szCs w:val="20"/>
              </w:rPr>
              <w:t xml:space="preserve">eview </w:t>
            </w:r>
            <w:r w:rsidR="00643F81" w:rsidRPr="00CF3D97">
              <w:rPr>
                <w:color w:val="auto"/>
                <w:sz w:val="20"/>
                <w:szCs w:val="20"/>
              </w:rPr>
              <w:t>c</w:t>
            </w:r>
            <w:r w:rsidRPr="00CF3D97">
              <w:rPr>
                <w:color w:val="auto"/>
                <w:sz w:val="20"/>
                <w:szCs w:val="20"/>
              </w:rPr>
              <w:t xml:space="preserve">ompleted: </w:t>
            </w:r>
          </w:p>
          <w:p w14:paraId="2427D50A" w14:textId="27100A26" w:rsidR="00080625" w:rsidRPr="00CF3D97" w:rsidRDefault="00080625" w:rsidP="00080625">
            <w:pPr>
              <w:rPr>
                <w:color w:val="auto"/>
                <w:sz w:val="20"/>
                <w:szCs w:val="20"/>
              </w:rPr>
            </w:pPr>
            <w:r w:rsidRPr="00CF3D97">
              <w:rPr>
                <w:color w:val="auto"/>
                <w:sz w:val="20"/>
                <w:szCs w:val="20"/>
              </w:rPr>
              <w:t xml:space="preserve">Review </w:t>
            </w:r>
            <w:r w:rsidR="00643F81" w:rsidRPr="00CF3D97">
              <w:rPr>
                <w:color w:val="auto"/>
                <w:sz w:val="20"/>
                <w:szCs w:val="20"/>
              </w:rPr>
              <w:t>c</w:t>
            </w:r>
            <w:r w:rsidRPr="00CF3D97">
              <w:rPr>
                <w:color w:val="auto"/>
                <w:sz w:val="20"/>
                <w:szCs w:val="20"/>
              </w:rPr>
              <w:t xml:space="preserve">ompleted </w:t>
            </w:r>
            <w:r w:rsidR="00643F81" w:rsidRPr="00CF3D97">
              <w:rPr>
                <w:color w:val="auto"/>
                <w:sz w:val="20"/>
                <w:szCs w:val="20"/>
              </w:rPr>
              <w:t>b</w:t>
            </w:r>
            <w:r w:rsidRPr="00CF3D97">
              <w:rPr>
                <w:color w:val="auto"/>
                <w:sz w:val="20"/>
                <w:szCs w:val="20"/>
              </w:rPr>
              <w:t>y:</w:t>
            </w:r>
          </w:p>
          <w:tbl>
            <w:tblPr>
              <w:tblStyle w:val="TableGrid"/>
              <w:tblW w:w="9656" w:type="dxa"/>
              <w:tblLook w:val="04A0" w:firstRow="1" w:lastRow="0" w:firstColumn="1" w:lastColumn="0" w:noHBand="0" w:noVBand="1"/>
            </w:tblPr>
            <w:tblGrid>
              <w:gridCol w:w="1435"/>
              <w:gridCol w:w="8221"/>
            </w:tblGrid>
            <w:tr w:rsidR="00CF3D97" w:rsidRPr="00CF3D97" w14:paraId="151DF4C1" w14:textId="77777777" w:rsidTr="003C67D4">
              <w:trPr>
                <w:trHeight w:val="400"/>
              </w:trPr>
              <w:tc>
                <w:tcPr>
                  <w:tcW w:w="1435" w:type="dxa"/>
                </w:tcPr>
                <w:p w14:paraId="6FED9801" w14:textId="77777777" w:rsidR="00110855" w:rsidRPr="00CF3D97" w:rsidRDefault="00110855" w:rsidP="00110855">
                  <w:pPr>
                    <w:rPr>
                      <w:color w:val="auto"/>
                      <w:sz w:val="20"/>
                      <w:szCs w:val="20"/>
                    </w:rPr>
                  </w:pPr>
                  <w:r w:rsidRPr="00CF3D97">
                    <w:rPr>
                      <w:color w:val="auto"/>
                      <w:sz w:val="20"/>
                      <w:szCs w:val="20"/>
                    </w:rPr>
                    <w:lastRenderedPageBreak/>
                    <w:t>GDN:</w:t>
                  </w:r>
                </w:p>
              </w:tc>
              <w:tc>
                <w:tcPr>
                  <w:tcW w:w="8221" w:type="dxa"/>
                </w:tcPr>
                <w:p w14:paraId="08ED5D38" w14:textId="77777777" w:rsidR="00110855" w:rsidRPr="00CF3D97" w:rsidRDefault="00110855" w:rsidP="00110855">
                  <w:pPr>
                    <w:rPr>
                      <w:color w:val="auto"/>
                      <w:sz w:val="20"/>
                      <w:szCs w:val="20"/>
                    </w:rPr>
                  </w:pPr>
                  <w:r w:rsidRPr="00CF3D97">
                    <w:rPr>
                      <w:color w:val="auto"/>
                      <w:sz w:val="20"/>
                      <w:szCs w:val="20"/>
                    </w:rPr>
                    <w:t>Name(s):</w:t>
                  </w:r>
                </w:p>
              </w:tc>
            </w:tr>
            <w:tr w:rsidR="00CF3D97" w:rsidRPr="00CF3D97" w14:paraId="29C805A4" w14:textId="77777777" w:rsidTr="003C67D4">
              <w:trPr>
                <w:trHeight w:val="400"/>
              </w:trPr>
              <w:tc>
                <w:tcPr>
                  <w:tcW w:w="1435" w:type="dxa"/>
                </w:tcPr>
                <w:p w14:paraId="39434790" w14:textId="77777777" w:rsidR="00110855" w:rsidRPr="00CF3D97" w:rsidRDefault="00110855" w:rsidP="00110855">
                  <w:pPr>
                    <w:rPr>
                      <w:color w:val="auto"/>
                      <w:sz w:val="20"/>
                      <w:szCs w:val="20"/>
                    </w:rPr>
                  </w:pPr>
                  <w:r w:rsidRPr="00CF3D97">
                    <w:rPr>
                      <w:color w:val="auto"/>
                      <w:sz w:val="20"/>
                      <w:szCs w:val="20"/>
                    </w:rPr>
                    <w:t>Cadent</w:t>
                  </w:r>
                </w:p>
              </w:tc>
              <w:tc>
                <w:tcPr>
                  <w:tcW w:w="8221" w:type="dxa"/>
                </w:tcPr>
                <w:p w14:paraId="651D22AC" w14:textId="77777777" w:rsidR="00110855" w:rsidRPr="00CF3D97" w:rsidRDefault="00110855" w:rsidP="00110855">
                  <w:pPr>
                    <w:rPr>
                      <w:color w:val="auto"/>
                      <w:sz w:val="22"/>
                    </w:rPr>
                  </w:pPr>
                  <w:r w:rsidRPr="00CF3D97">
                    <w:rPr>
                      <w:color w:val="auto"/>
                      <w:sz w:val="22"/>
                    </w:rPr>
                    <w:t>Philip Burrows - Head of Customer Vulnerability Social Programmes Delivery</w:t>
                  </w:r>
                </w:p>
              </w:tc>
            </w:tr>
            <w:tr w:rsidR="00CF3D97" w:rsidRPr="00CF3D97" w14:paraId="0B1245D8" w14:textId="77777777" w:rsidTr="003C67D4">
              <w:trPr>
                <w:trHeight w:val="398"/>
              </w:trPr>
              <w:tc>
                <w:tcPr>
                  <w:tcW w:w="1435" w:type="dxa"/>
                </w:tcPr>
                <w:p w14:paraId="798D204B" w14:textId="77777777" w:rsidR="00110855" w:rsidRPr="00CF3D97" w:rsidRDefault="00110855" w:rsidP="00110855">
                  <w:pPr>
                    <w:rPr>
                      <w:color w:val="auto"/>
                      <w:sz w:val="20"/>
                      <w:szCs w:val="20"/>
                    </w:rPr>
                  </w:pPr>
                  <w:r w:rsidRPr="00CF3D97">
                    <w:rPr>
                      <w:color w:val="auto"/>
                      <w:sz w:val="20"/>
                      <w:szCs w:val="20"/>
                    </w:rPr>
                    <w:t>SGN</w:t>
                  </w:r>
                </w:p>
              </w:tc>
              <w:tc>
                <w:tcPr>
                  <w:tcW w:w="8221" w:type="dxa"/>
                </w:tcPr>
                <w:p w14:paraId="361CD488" w14:textId="29538757" w:rsidR="00110855" w:rsidRPr="00CF3D97" w:rsidRDefault="00CF3D97" w:rsidP="00110855">
                  <w:pPr>
                    <w:rPr>
                      <w:color w:val="auto"/>
                      <w:sz w:val="22"/>
                    </w:rPr>
                  </w:pPr>
                  <w:r>
                    <w:rPr>
                      <w:color w:val="auto"/>
                      <w:sz w:val="22"/>
                    </w:rPr>
                    <w:t>Maureen McIntosh</w:t>
                  </w:r>
                  <w:r w:rsidR="00110855" w:rsidRPr="00CF3D97">
                    <w:rPr>
                      <w:color w:val="auto"/>
                      <w:sz w:val="22"/>
                    </w:rPr>
                    <w:t xml:space="preserve"> - Director of </w:t>
                  </w:r>
                  <w:r>
                    <w:rPr>
                      <w:color w:val="auto"/>
                      <w:sz w:val="22"/>
                    </w:rPr>
                    <w:t>Customer Service</w:t>
                  </w:r>
                </w:p>
              </w:tc>
            </w:tr>
            <w:tr w:rsidR="00CF3D97" w:rsidRPr="00CF3D97" w14:paraId="061A41AE" w14:textId="77777777" w:rsidTr="003C67D4">
              <w:trPr>
                <w:trHeight w:val="432"/>
              </w:trPr>
              <w:tc>
                <w:tcPr>
                  <w:tcW w:w="1435" w:type="dxa"/>
                </w:tcPr>
                <w:p w14:paraId="570E1A2D" w14:textId="77777777" w:rsidR="00110855" w:rsidRPr="00CF3D97" w:rsidRDefault="00110855" w:rsidP="00110855">
                  <w:pPr>
                    <w:rPr>
                      <w:color w:val="auto"/>
                      <w:sz w:val="20"/>
                      <w:szCs w:val="20"/>
                    </w:rPr>
                  </w:pPr>
                  <w:r w:rsidRPr="00CF3D97">
                    <w:rPr>
                      <w:color w:val="auto"/>
                      <w:sz w:val="20"/>
                      <w:szCs w:val="20"/>
                    </w:rPr>
                    <w:t>WWU</w:t>
                  </w:r>
                </w:p>
              </w:tc>
              <w:tc>
                <w:tcPr>
                  <w:tcW w:w="8221" w:type="dxa"/>
                </w:tcPr>
                <w:p w14:paraId="530F1EB7" w14:textId="77777777" w:rsidR="00110855" w:rsidRPr="00CF3D97" w:rsidRDefault="00110855" w:rsidP="00110855">
                  <w:pPr>
                    <w:rPr>
                      <w:color w:val="auto"/>
                      <w:sz w:val="22"/>
                    </w:rPr>
                  </w:pPr>
                  <w:r w:rsidRPr="00CF3D97">
                    <w:rPr>
                      <w:color w:val="auto"/>
                      <w:sz w:val="22"/>
                    </w:rPr>
                    <w:t>Nigel Winnan - Head of Customer and Social Obligations</w:t>
                  </w:r>
                </w:p>
              </w:tc>
            </w:tr>
          </w:tbl>
          <w:p w14:paraId="3856529B" w14:textId="77777777" w:rsidR="00110855" w:rsidRPr="00CF3D97" w:rsidRDefault="00110855" w:rsidP="00110855">
            <w:pPr>
              <w:rPr>
                <w:color w:val="auto"/>
                <w:sz w:val="20"/>
                <w:szCs w:val="20"/>
              </w:rPr>
            </w:pPr>
          </w:p>
          <w:p w14:paraId="482AD978" w14:textId="6B23D706" w:rsidR="00080625" w:rsidRPr="00CF3D97" w:rsidRDefault="00080625" w:rsidP="00B471A1">
            <w:pPr>
              <w:rPr>
                <w:color w:val="auto"/>
                <w:sz w:val="20"/>
                <w:szCs w:val="20"/>
              </w:rPr>
            </w:pPr>
          </w:p>
        </w:tc>
      </w:tr>
      <w:tr w:rsidR="00527F7C" w:rsidRPr="004462A4" w14:paraId="4204A5E4" w14:textId="77777777" w:rsidTr="005A182D">
        <w:trPr>
          <w:trHeight w:val="556"/>
        </w:trPr>
        <w:tc>
          <w:tcPr>
            <w:tcW w:w="9853" w:type="dxa"/>
            <w:tcBorders>
              <w:bottom w:val="nil"/>
            </w:tcBorders>
            <w:vAlign w:val="center"/>
          </w:tcPr>
          <w:p w14:paraId="165B2770" w14:textId="72AC28A0" w:rsidR="00527F7C" w:rsidRPr="00CF3D97" w:rsidRDefault="00527F7C" w:rsidP="00B471A1">
            <w:pPr>
              <w:rPr>
                <w:color w:val="auto"/>
                <w:sz w:val="20"/>
                <w:szCs w:val="20"/>
              </w:rPr>
            </w:pPr>
            <w:r w:rsidRPr="00CF3D97">
              <w:rPr>
                <w:color w:val="auto"/>
                <w:sz w:val="20"/>
                <w:szCs w:val="20"/>
              </w:rPr>
              <w:lastRenderedPageBreak/>
              <w:t xml:space="preserve">Step 3: </w:t>
            </w:r>
            <w:r w:rsidR="001A066E" w:rsidRPr="00CF3D97">
              <w:rPr>
                <w:color w:val="auto"/>
                <w:sz w:val="20"/>
                <w:szCs w:val="20"/>
              </w:rPr>
              <w:t xml:space="preserve">Participating </w:t>
            </w:r>
            <w:r w:rsidR="00A711F3" w:rsidRPr="00CF3D97">
              <w:rPr>
                <w:color w:val="auto"/>
                <w:sz w:val="20"/>
                <w:szCs w:val="20"/>
              </w:rPr>
              <w:t>GDN individual signatory s</w:t>
            </w:r>
            <w:r w:rsidRPr="00CF3D97">
              <w:rPr>
                <w:color w:val="auto"/>
                <w:sz w:val="20"/>
                <w:szCs w:val="20"/>
              </w:rPr>
              <w:t>ign-</w:t>
            </w:r>
            <w:r w:rsidR="00A711F3" w:rsidRPr="00CF3D97">
              <w:rPr>
                <w:color w:val="auto"/>
                <w:sz w:val="20"/>
                <w:szCs w:val="20"/>
              </w:rPr>
              <w:t>o</w:t>
            </w:r>
            <w:r w:rsidRPr="00CF3D97">
              <w:rPr>
                <w:color w:val="auto"/>
                <w:sz w:val="20"/>
                <w:szCs w:val="20"/>
              </w:rPr>
              <w:t>ff</w:t>
            </w:r>
          </w:p>
        </w:tc>
      </w:tr>
      <w:tr w:rsidR="00A711F3" w:rsidRPr="004462A4" w14:paraId="2A257DCE" w14:textId="77777777" w:rsidTr="005A182D">
        <w:trPr>
          <w:trHeight w:val="2251"/>
        </w:trPr>
        <w:tc>
          <w:tcPr>
            <w:tcW w:w="9853" w:type="dxa"/>
            <w:tcBorders>
              <w:top w:val="nil"/>
            </w:tcBorders>
            <w:vAlign w:val="center"/>
          </w:tcPr>
          <w:tbl>
            <w:tblPr>
              <w:tblStyle w:val="TableGrid"/>
              <w:tblW w:w="0" w:type="auto"/>
              <w:tblLook w:val="04A0" w:firstRow="1" w:lastRow="0" w:firstColumn="1" w:lastColumn="0" w:noHBand="0" w:noVBand="1"/>
            </w:tblPr>
            <w:tblGrid>
              <w:gridCol w:w="1009"/>
              <w:gridCol w:w="3686"/>
              <w:gridCol w:w="3402"/>
              <w:gridCol w:w="1530"/>
            </w:tblGrid>
            <w:tr w:rsidR="00CF3D97" w:rsidRPr="00CF3D97" w14:paraId="07906ABF" w14:textId="77777777" w:rsidTr="005E5702">
              <w:tc>
                <w:tcPr>
                  <w:tcW w:w="1009" w:type="dxa"/>
                  <w:tcBorders>
                    <w:bottom w:val="single" w:sz="4" w:space="0" w:color="auto"/>
                  </w:tcBorders>
                </w:tcPr>
                <w:p w14:paraId="71EED35B" w14:textId="2F2B7C87" w:rsidR="00020660" w:rsidRPr="00CF3D97" w:rsidRDefault="00106BC9" w:rsidP="00755CEC">
                  <w:pPr>
                    <w:jc w:val="center"/>
                    <w:rPr>
                      <w:color w:val="auto"/>
                      <w:sz w:val="20"/>
                      <w:szCs w:val="20"/>
                    </w:rPr>
                  </w:pPr>
                  <w:r w:rsidRPr="00CF3D97">
                    <w:rPr>
                      <w:color w:val="auto"/>
                      <w:sz w:val="20"/>
                      <w:szCs w:val="20"/>
                    </w:rPr>
                    <w:t>GDN</w:t>
                  </w:r>
                </w:p>
              </w:tc>
              <w:tc>
                <w:tcPr>
                  <w:tcW w:w="3686" w:type="dxa"/>
                  <w:tcBorders>
                    <w:bottom w:val="single" w:sz="4" w:space="0" w:color="auto"/>
                  </w:tcBorders>
                </w:tcPr>
                <w:p w14:paraId="722F2E29" w14:textId="089F28B6" w:rsidR="00020660" w:rsidRPr="00CF3D97" w:rsidRDefault="00755CEC" w:rsidP="00755CEC">
                  <w:pPr>
                    <w:jc w:val="center"/>
                    <w:rPr>
                      <w:color w:val="auto"/>
                      <w:sz w:val="20"/>
                      <w:szCs w:val="20"/>
                    </w:rPr>
                  </w:pPr>
                  <w:r w:rsidRPr="00CF3D97">
                    <w:rPr>
                      <w:color w:val="auto"/>
                      <w:sz w:val="20"/>
                      <w:szCs w:val="20"/>
                    </w:rPr>
                    <w:t>Name</w:t>
                  </w:r>
                  <w:r w:rsidR="005E5702" w:rsidRPr="00CF3D97">
                    <w:rPr>
                      <w:color w:val="auto"/>
                      <w:sz w:val="20"/>
                      <w:szCs w:val="20"/>
                    </w:rPr>
                    <w:t>(s)</w:t>
                  </w:r>
                </w:p>
              </w:tc>
              <w:tc>
                <w:tcPr>
                  <w:tcW w:w="3402" w:type="dxa"/>
                  <w:tcBorders>
                    <w:bottom w:val="single" w:sz="4" w:space="0" w:color="auto"/>
                  </w:tcBorders>
                </w:tcPr>
                <w:p w14:paraId="170ACE83" w14:textId="1ACFAA63" w:rsidR="00020660" w:rsidRPr="00CF3D97" w:rsidRDefault="00755CEC" w:rsidP="00755CEC">
                  <w:pPr>
                    <w:jc w:val="center"/>
                    <w:rPr>
                      <w:color w:val="auto"/>
                      <w:sz w:val="20"/>
                      <w:szCs w:val="20"/>
                    </w:rPr>
                  </w:pPr>
                  <w:r w:rsidRPr="00CF3D97">
                    <w:rPr>
                      <w:color w:val="auto"/>
                      <w:sz w:val="20"/>
                      <w:szCs w:val="20"/>
                    </w:rPr>
                    <w:t>Signature</w:t>
                  </w:r>
                  <w:r w:rsidR="005E5702" w:rsidRPr="00CF3D97">
                    <w:rPr>
                      <w:color w:val="auto"/>
                      <w:sz w:val="20"/>
                      <w:szCs w:val="20"/>
                    </w:rPr>
                    <w:t>(s)</w:t>
                  </w:r>
                </w:p>
              </w:tc>
              <w:tc>
                <w:tcPr>
                  <w:tcW w:w="1530" w:type="dxa"/>
                  <w:tcBorders>
                    <w:bottom w:val="single" w:sz="4" w:space="0" w:color="auto"/>
                  </w:tcBorders>
                </w:tcPr>
                <w:p w14:paraId="14A1358F" w14:textId="6969340F" w:rsidR="00020660" w:rsidRPr="00CF3D97" w:rsidRDefault="00755CEC" w:rsidP="00755CEC">
                  <w:pPr>
                    <w:jc w:val="center"/>
                    <w:rPr>
                      <w:color w:val="auto"/>
                      <w:sz w:val="20"/>
                      <w:szCs w:val="20"/>
                    </w:rPr>
                  </w:pPr>
                  <w:r w:rsidRPr="00CF3D97">
                    <w:rPr>
                      <w:color w:val="auto"/>
                      <w:sz w:val="20"/>
                      <w:szCs w:val="20"/>
                    </w:rPr>
                    <w:t>Date</w:t>
                  </w:r>
                </w:p>
              </w:tc>
            </w:tr>
            <w:tr w:rsidR="00CF3D97" w:rsidRPr="00CF3D97" w14:paraId="68AD2D0F" w14:textId="77777777" w:rsidTr="005E5702">
              <w:trPr>
                <w:trHeight w:val="731"/>
              </w:trPr>
              <w:tc>
                <w:tcPr>
                  <w:tcW w:w="1009" w:type="dxa"/>
                  <w:tcBorders>
                    <w:top w:val="nil"/>
                  </w:tcBorders>
                </w:tcPr>
                <w:p w14:paraId="158B45C8" w14:textId="3B901AF5" w:rsidR="00755CEC" w:rsidRPr="00CF3D97" w:rsidRDefault="00755CEC" w:rsidP="00755CEC">
                  <w:pPr>
                    <w:rPr>
                      <w:color w:val="auto"/>
                      <w:sz w:val="20"/>
                      <w:szCs w:val="20"/>
                    </w:rPr>
                  </w:pPr>
                  <w:r w:rsidRPr="00CF3D97">
                    <w:rPr>
                      <w:color w:val="auto"/>
                      <w:sz w:val="20"/>
                      <w:szCs w:val="20"/>
                    </w:rPr>
                    <w:t>Cadent:</w:t>
                  </w:r>
                </w:p>
              </w:tc>
              <w:tc>
                <w:tcPr>
                  <w:tcW w:w="3686" w:type="dxa"/>
                  <w:tcBorders>
                    <w:top w:val="nil"/>
                  </w:tcBorders>
                </w:tcPr>
                <w:p w14:paraId="1B00BD0F" w14:textId="173C9B97" w:rsidR="00755CEC" w:rsidRPr="00CF3D97" w:rsidRDefault="00A75E78" w:rsidP="00755CEC">
                  <w:pPr>
                    <w:rPr>
                      <w:color w:val="auto"/>
                      <w:sz w:val="22"/>
                    </w:rPr>
                  </w:pPr>
                  <w:r>
                    <w:rPr>
                      <w:noProof/>
                      <w:color w:val="auto"/>
                      <w:sz w:val="22"/>
                    </w:rPr>
                    <mc:AlternateContent>
                      <mc:Choice Requires="wpi">
                        <w:drawing>
                          <wp:anchor distT="0" distB="0" distL="114300" distR="114300" simplePos="0" relativeHeight="251659264" behindDoc="0" locked="0" layoutInCell="1" allowOverlap="1" wp14:anchorId="0B29BD09" wp14:editId="6CAA69A8">
                            <wp:simplePos x="0" y="0"/>
                            <wp:positionH relativeFrom="column">
                              <wp:posOffset>2204545</wp:posOffset>
                            </wp:positionH>
                            <wp:positionV relativeFrom="paragraph">
                              <wp:posOffset>-7415</wp:posOffset>
                            </wp:positionV>
                            <wp:extent cx="849240" cy="539640"/>
                            <wp:effectExtent l="38100" t="38100" r="46355" b="32385"/>
                            <wp:wrapNone/>
                            <wp:docPr id="306870781"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849240" cy="539640"/>
                                  </w14:xfrm>
                                </w14:contentPart>
                              </a:graphicData>
                            </a:graphic>
                          </wp:anchor>
                        </w:drawing>
                      </mc:Choice>
                      <mc:Fallback>
                        <w:pict>
                          <v:shapetype w14:anchorId="3CE724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73.25pt;margin-top:-.95pt;width:67.55pt;height:4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">
                            <v:imagedata r:id="rId16" o:title=""/>
                          </v:shape>
                        </w:pict>
                      </mc:Fallback>
                    </mc:AlternateContent>
                  </w:r>
                  <w:r w:rsidR="00110855" w:rsidRPr="00CF3D97">
                    <w:rPr>
                      <w:color w:val="auto"/>
                      <w:sz w:val="22"/>
                    </w:rPr>
                    <w:t>Philip Burrows</w:t>
                  </w:r>
                  <w:r w:rsidR="008440F3" w:rsidRPr="00CF3D97">
                    <w:rPr>
                      <w:color w:val="auto"/>
                      <w:sz w:val="22"/>
                    </w:rPr>
                    <w:t xml:space="preserve"> - Head of Customer Vulnerability Social Programmes Delivery</w:t>
                  </w:r>
                </w:p>
              </w:tc>
              <w:tc>
                <w:tcPr>
                  <w:tcW w:w="3402" w:type="dxa"/>
                  <w:tcBorders>
                    <w:top w:val="nil"/>
                  </w:tcBorders>
                </w:tcPr>
                <w:p w14:paraId="0661B328" w14:textId="5F9407D3" w:rsidR="00755CEC" w:rsidRPr="00CF3D97" w:rsidRDefault="00755CEC" w:rsidP="00755CEC">
                  <w:pPr>
                    <w:rPr>
                      <w:color w:val="auto"/>
                      <w:sz w:val="20"/>
                      <w:szCs w:val="20"/>
                    </w:rPr>
                  </w:pPr>
                </w:p>
              </w:tc>
              <w:tc>
                <w:tcPr>
                  <w:tcW w:w="1530" w:type="dxa"/>
                  <w:tcBorders>
                    <w:top w:val="nil"/>
                  </w:tcBorders>
                </w:tcPr>
                <w:p w14:paraId="6D22BCAD" w14:textId="143A0D1B" w:rsidR="00755CEC" w:rsidRPr="00CF3D97" w:rsidRDefault="00A75E78" w:rsidP="00755CEC">
                  <w:pPr>
                    <w:rPr>
                      <w:color w:val="auto"/>
                      <w:sz w:val="20"/>
                      <w:szCs w:val="20"/>
                    </w:rPr>
                  </w:pPr>
                  <w:r>
                    <w:rPr>
                      <w:color w:val="auto"/>
                      <w:sz w:val="20"/>
                      <w:szCs w:val="20"/>
                    </w:rPr>
                    <w:t>05/02/2025</w:t>
                  </w:r>
                </w:p>
              </w:tc>
            </w:tr>
            <w:tr w:rsidR="00CF3D97" w:rsidRPr="00CF3D97" w14:paraId="341903CF" w14:textId="77777777" w:rsidTr="005E5702">
              <w:trPr>
                <w:trHeight w:val="864"/>
              </w:trPr>
              <w:tc>
                <w:tcPr>
                  <w:tcW w:w="1009" w:type="dxa"/>
                </w:tcPr>
                <w:p w14:paraId="5281E6D8" w14:textId="75417D85" w:rsidR="00755CEC" w:rsidRPr="00CF3D97" w:rsidRDefault="00632B05" w:rsidP="00755CEC">
                  <w:pPr>
                    <w:rPr>
                      <w:color w:val="auto"/>
                      <w:sz w:val="20"/>
                      <w:szCs w:val="20"/>
                    </w:rPr>
                  </w:pPr>
                  <w:r w:rsidRPr="00CF3D97">
                    <w:rPr>
                      <w:color w:val="auto"/>
                      <w:sz w:val="20"/>
                      <w:szCs w:val="20"/>
                    </w:rPr>
                    <w:t>SGN:</w:t>
                  </w:r>
                </w:p>
              </w:tc>
              <w:tc>
                <w:tcPr>
                  <w:tcW w:w="3686" w:type="dxa"/>
                </w:tcPr>
                <w:p w14:paraId="5C81C09D" w14:textId="6204E51F" w:rsidR="008440F3" w:rsidRPr="00CF3D97" w:rsidRDefault="00CF3D97" w:rsidP="008440F3">
                  <w:pPr>
                    <w:rPr>
                      <w:color w:val="auto"/>
                      <w:sz w:val="22"/>
                    </w:rPr>
                  </w:pPr>
                  <w:r>
                    <w:rPr>
                      <w:color w:val="auto"/>
                      <w:sz w:val="22"/>
                    </w:rPr>
                    <w:t>Maureen McIntosh</w:t>
                  </w:r>
                  <w:r w:rsidR="008440F3" w:rsidRPr="00CF3D97">
                    <w:rPr>
                      <w:color w:val="auto"/>
                      <w:sz w:val="22"/>
                    </w:rPr>
                    <w:t xml:space="preserve"> - Director of </w:t>
                  </w:r>
                  <w:r>
                    <w:rPr>
                      <w:color w:val="auto"/>
                      <w:sz w:val="22"/>
                    </w:rPr>
                    <w:t>Customer Service</w:t>
                  </w:r>
                </w:p>
              </w:tc>
              <w:tc>
                <w:tcPr>
                  <w:tcW w:w="3402" w:type="dxa"/>
                </w:tcPr>
                <w:p w14:paraId="78C72032" w14:textId="0EC9C905" w:rsidR="00755CEC" w:rsidRPr="00CF3D97" w:rsidRDefault="00821979" w:rsidP="00755CEC">
                  <w:pPr>
                    <w:rPr>
                      <w:color w:val="auto"/>
                      <w:sz w:val="20"/>
                      <w:szCs w:val="20"/>
                    </w:rPr>
                  </w:pPr>
                  <w:r>
                    <w:rPr>
                      <w:noProof/>
                      <w:color w:val="auto"/>
                      <w:sz w:val="20"/>
                      <w:szCs w:val="20"/>
                    </w:rPr>
                    <w:drawing>
                      <wp:inline distT="0" distB="0" distL="0" distR="0" wp14:anchorId="70F1DC05" wp14:editId="33E261AC">
                        <wp:extent cx="1381125" cy="361950"/>
                        <wp:effectExtent l="0" t="0" r="9525" b="0"/>
                        <wp:docPr id="1696438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tc>
              <w:tc>
                <w:tcPr>
                  <w:tcW w:w="1530" w:type="dxa"/>
                </w:tcPr>
                <w:p w14:paraId="0A2B2437" w14:textId="5D2033F4" w:rsidR="00755CEC" w:rsidRPr="00CF3D97" w:rsidRDefault="00821979" w:rsidP="00755CEC">
                  <w:pPr>
                    <w:rPr>
                      <w:color w:val="auto"/>
                      <w:sz w:val="20"/>
                      <w:szCs w:val="20"/>
                    </w:rPr>
                  </w:pPr>
                  <w:r>
                    <w:rPr>
                      <w:color w:val="auto"/>
                      <w:sz w:val="20"/>
                      <w:szCs w:val="20"/>
                    </w:rPr>
                    <w:t>22/01/25</w:t>
                  </w:r>
                </w:p>
              </w:tc>
            </w:tr>
            <w:tr w:rsidR="00CF3D97" w:rsidRPr="00CF3D97" w14:paraId="41ED8875" w14:textId="77777777" w:rsidTr="005E5702">
              <w:trPr>
                <w:trHeight w:val="835"/>
              </w:trPr>
              <w:tc>
                <w:tcPr>
                  <w:tcW w:w="1009" w:type="dxa"/>
                </w:tcPr>
                <w:p w14:paraId="46161FF1" w14:textId="5098C47F" w:rsidR="00755CEC" w:rsidRPr="00CF3D97" w:rsidRDefault="00755CEC" w:rsidP="00755CEC">
                  <w:pPr>
                    <w:rPr>
                      <w:color w:val="auto"/>
                      <w:sz w:val="20"/>
                      <w:szCs w:val="20"/>
                    </w:rPr>
                  </w:pPr>
                  <w:r w:rsidRPr="00CF3D97">
                    <w:rPr>
                      <w:color w:val="auto"/>
                      <w:sz w:val="20"/>
                      <w:szCs w:val="20"/>
                    </w:rPr>
                    <w:t>WWU:</w:t>
                  </w:r>
                </w:p>
              </w:tc>
              <w:tc>
                <w:tcPr>
                  <w:tcW w:w="3686" w:type="dxa"/>
                </w:tcPr>
                <w:p w14:paraId="59D437C4" w14:textId="0BFBF4B2" w:rsidR="00755CEC" w:rsidRPr="00CF3D97" w:rsidRDefault="008440F3" w:rsidP="00755CEC">
                  <w:pPr>
                    <w:rPr>
                      <w:color w:val="auto"/>
                      <w:sz w:val="22"/>
                    </w:rPr>
                  </w:pPr>
                  <w:r w:rsidRPr="00CF3D97">
                    <w:rPr>
                      <w:color w:val="auto"/>
                      <w:sz w:val="22"/>
                    </w:rPr>
                    <w:t>Nigel Winnan - Head of Customer and Social Obligations</w:t>
                  </w:r>
                </w:p>
              </w:tc>
              <w:tc>
                <w:tcPr>
                  <w:tcW w:w="3402" w:type="dxa"/>
                </w:tcPr>
                <w:p w14:paraId="3D6C4487" w14:textId="5551FCF7" w:rsidR="00755CEC" w:rsidRPr="00CF3D97" w:rsidRDefault="006563E7" w:rsidP="00755CEC">
                  <w:pPr>
                    <w:rPr>
                      <w:color w:val="auto"/>
                      <w:sz w:val="20"/>
                      <w:szCs w:val="20"/>
                    </w:rPr>
                  </w:pPr>
                  <w:r>
                    <w:rPr>
                      <w:noProof/>
                      <w:color w:val="auto"/>
                      <w:sz w:val="20"/>
                      <w:szCs w:val="20"/>
                    </w:rPr>
                    <w:drawing>
                      <wp:inline distT="0" distB="0" distL="0" distR="0" wp14:anchorId="45627F26" wp14:editId="7544F4E4">
                        <wp:extent cx="807916" cy="1631419"/>
                        <wp:effectExtent l="7302" t="0" r="0" b="0"/>
                        <wp:docPr id="311449399"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49399" name="Picture 1" descr="A close up of a pap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21113" cy="1658068"/>
                                </a:xfrm>
                                <a:prstGeom prst="rect">
                                  <a:avLst/>
                                </a:prstGeom>
                              </pic:spPr>
                            </pic:pic>
                          </a:graphicData>
                        </a:graphic>
                      </wp:inline>
                    </w:drawing>
                  </w:r>
                </w:p>
              </w:tc>
              <w:tc>
                <w:tcPr>
                  <w:tcW w:w="1530" w:type="dxa"/>
                </w:tcPr>
                <w:p w14:paraId="7D8DBF36" w14:textId="5D3AFA79" w:rsidR="00755CEC" w:rsidRPr="00CF3D97" w:rsidRDefault="006563E7" w:rsidP="00755CEC">
                  <w:pPr>
                    <w:rPr>
                      <w:color w:val="auto"/>
                      <w:sz w:val="20"/>
                      <w:szCs w:val="20"/>
                    </w:rPr>
                  </w:pPr>
                  <w:r>
                    <w:rPr>
                      <w:color w:val="auto"/>
                      <w:sz w:val="20"/>
                      <w:szCs w:val="20"/>
                    </w:rPr>
                    <w:t>24/1/2025</w:t>
                  </w:r>
                </w:p>
              </w:tc>
            </w:tr>
          </w:tbl>
          <w:p w14:paraId="4386EC56" w14:textId="77777777" w:rsidR="00A711F3" w:rsidRPr="00CF3D97" w:rsidRDefault="00A711F3" w:rsidP="00B471A1">
            <w:pPr>
              <w:rPr>
                <w:color w:val="auto"/>
                <w:sz w:val="20"/>
                <w:szCs w:val="20"/>
              </w:rPr>
            </w:pPr>
          </w:p>
        </w:tc>
      </w:tr>
      <w:tr w:rsidR="00527F7C" w:rsidRPr="004462A4" w14:paraId="0A8AB8BA" w14:textId="77777777" w:rsidTr="003F5080">
        <w:trPr>
          <w:trHeight w:val="544"/>
        </w:trPr>
        <w:tc>
          <w:tcPr>
            <w:tcW w:w="9853" w:type="dxa"/>
            <w:vAlign w:val="center"/>
          </w:tcPr>
          <w:p w14:paraId="602F1D7A" w14:textId="404DCFAD" w:rsidR="00527F7C" w:rsidRPr="00CF3D97" w:rsidRDefault="00527F7C" w:rsidP="00B471A1">
            <w:pPr>
              <w:rPr>
                <w:color w:val="auto"/>
                <w:sz w:val="20"/>
                <w:szCs w:val="20"/>
              </w:rPr>
            </w:pPr>
            <w:r w:rsidRPr="00CF3D97">
              <w:rPr>
                <w:color w:val="auto"/>
                <w:sz w:val="20"/>
                <w:szCs w:val="20"/>
              </w:rPr>
              <w:t xml:space="preserve">Step 4: Upload PEA Document to the Website &amp; Notification Email Sent to Ofgem (vcma@ofgem.gov.uk) </w:t>
            </w:r>
          </w:p>
        </w:tc>
      </w:tr>
      <w:tr w:rsidR="00527F7C" w:rsidRPr="004462A4" w14:paraId="649CB3E5" w14:textId="77777777" w:rsidTr="003F5080">
        <w:trPr>
          <w:trHeight w:val="580"/>
        </w:trPr>
        <w:tc>
          <w:tcPr>
            <w:tcW w:w="9853" w:type="dxa"/>
            <w:vAlign w:val="center"/>
          </w:tcPr>
          <w:p w14:paraId="08FF6F74" w14:textId="2855F65D" w:rsidR="00527F7C" w:rsidRPr="00CF3D97" w:rsidRDefault="00527F7C" w:rsidP="00B471A1">
            <w:pPr>
              <w:rPr>
                <w:color w:val="auto"/>
                <w:sz w:val="20"/>
                <w:szCs w:val="20"/>
              </w:rPr>
            </w:pPr>
            <w:r w:rsidRPr="00CF3D97">
              <w:rPr>
                <w:color w:val="auto"/>
                <w:sz w:val="20"/>
                <w:szCs w:val="20"/>
              </w:rPr>
              <w:t>Date that PEA Document Uploaded to the Website:</w:t>
            </w:r>
            <w:r w:rsidR="00D16BDE">
              <w:rPr>
                <w:color w:val="auto"/>
                <w:sz w:val="20"/>
                <w:szCs w:val="20"/>
              </w:rPr>
              <w:t xml:space="preserve"> February 2025</w:t>
            </w:r>
          </w:p>
          <w:p w14:paraId="07BFD00A" w14:textId="60BB357A" w:rsidR="00527F7C" w:rsidRPr="00CF3D97" w:rsidRDefault="00527F7C" w:rsidP="00B471A1">
            <w:pPr>
              <w:rPr>
                <w:color w:val="auto"/>
                <w:sz w:val="20"/>
                <w:szCs w:val="20"/>
              </w:rPr>
            </w:pPr>
          </w:p>
        </w:tc>
      </w:tr>
      <w:tr w:rsidR="00527F7C" w:rsidRPr="004462A4" w14:paraId="71B617EB" w14:textId="77777777" w:rsidTr="003F5080">
        <w:trPr>
          <w:trHeight w:val="546"/>
        </w:trPr>
        <w:tc>
          <w:tcPr>
            <w:tcW w:w="9853" w:type="dxa"/>
            <w:vAlign w:val="center"/>
          </w:tcPr>
          <w:p w14:paraId="1D752F32" w14:textId="6914235F" w:rsidR="00527F7C" w:rsidRPr="00CF3D97" w:rsidRDefault="00527F7C" w:rsidP="00B471A1">
            <w:pPr>
              <w:rPr>
                <w:color w:val="auto"/>
                <w:sz w:val="20"/>
                <w:szCs w:val="20"/>
              </w:rPr>
            </w:pPr>
            <w:r w:rsidRPr="00CF3D97">
              <w:rPr>
                <w:color w:val="auto"/>
                <w:sz w:val="20"/>
                <w:szCs w:val="20"/>
              </w:rPr>
              <w:t>Date that Notification Email Sent to Ofgem:</w:t>
            </w:r>
            <w:r w:rsidR="00D16BDE">
              <w:rPr>
                <w:color w:val="auto"/>
                <w:sz w:val="20"/>
                <w:szCs w:val="20"/>
              </w:rPr>
              <w:t xml:space="preserve"> February 2025</w:t>
            </w:r>
          </w:p>
          <w:p w14:paraId="26C514A7" w14:textId="6E1B03FF" w:rsidR="00527F7C" w:rsidRPr="00CF3D97" w:rsidRDefault="00527F7C" w:rsidP="00B471A1">
            <w:pPr>
              <w:rPr>
                <w:color w:val="auto"/>
                <w:sz w:val="20"/>
                <w:szCs w:val="20"/>
              </w:rPr>
            </w:pPr>
          </w:p>
        </w:tc>
      </w:tr>
    </w:tbl>
    <w:p w14:paraId="6548AE05" w14:textId="13977057" w:rsidR="004F6135" w:rsidRPr="004462A4" w:rsidRDefault="004F6135" w:rsidP="00090BCF">
      <w:pPr>
        <w:rPr>
          <w:sz w:val="20"/>
          <w:szCs w:val="20"/>
        </w:rPr>
      </w:pPr>
    </w:p>
    <w:sectPr w:rsidR="004F6135" w:rsidRPr="004462A4" w:rsidSect="00090BCF">
      <w:headerReference w:type="default" r:id="rId19"/>
      <w:footerReference w:type="default" r:id="rId20"/>
      <w:headerReference w:type="first" r:id="rId21"/>
      <w:pgSz w:w="11906" w:h="16838" w:code="9"/>
      <w:pgMar w:top="1134" w:right="720" w:bottom="720" w:left="720"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0348" w14:textId="77777777" w:rsidR="00D23513" w:rsidRDefault="00D23513" w:rsidP="006E2C5E">
      <w:pPr>
        <w:spacing w:line="240" w:lineRule="auto"/>
      </w:pPr>
      <w:r>
        <w:separator/>
      </w:r>
    </w:p>
  </w:endnote>
  <w:endnote w:type="continuationSeparator" w:id="0">
    <w:p w14:paraId="03E1DEE6" w14:textId="77777777" w:rsidR="00D23513" w:rsidRDefault="00D23513" w:rsidP="006E2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13002"/>
      <w:docPartObj>
        <w:docPartGallery w:val="Page Numbers (Bottom of Page)"/>
        <w:docPartUnique/>
      </w:docPartObj>
    </w:sdtPr>
    <w:sdtEndPr>
      <w:rPr>
        <w:noProof/>
      </w:rPr>
    </w:sdtEndPr>
    <w:sdtContent>
      <w:p w14:paraId="025DF6FF" w14:textId="51E698BB" w:rsidR="0079326A" w:rsidRDefault="00793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21391" w14:textId="77777777" w:rsidR="0079326A" w:rsidRDefault="0079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634D" w14:textId="77777777" w:rsidR="00D23513" w:rsidRDefault="00D23513" w:rsidP="006E2C5E">
      <w:pPr>
        <w:spacing w:line="240" w:lineRule="auto"/>
      </w:pPr>
      <w:r>
        <w:separator/>
      </w:r>
    </w:p>
  </w:footnote>
  <w:footnote w:type="continuationSeparator" w:id="0">
    <w:p w14:paraId="2B7EAE34" w14:textId="77777777" w:rsidR="00D23513" w:rsidRDefault="00D23513" w:rsidP="006E2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A909" w14:textId="7B02DB04" w:rsidR="001E4B0F" w:rsidRDefault="001E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0550" w14:textId="37991014" w:rsidR="00F87269" w:rsidRDefault="00E22B50">
    <w:pPr>
      <w:pStyle w:val="Header"/>
    </w:pPr>
    <w:r>
      <w:rPr>
        <w:noProof/>
      </w:rPr>
      <w:drawing>
        <wp:anchor distT="0" distB="0" distL="114300" distR="114300" simplePos="0" relativeHeight="251659264" behindDoc="1" locked="0" layoutInCell="1" allowOverlap="1" wp14:anchorId="63F60556" wp14:editId="13D33758">
          <wp:simplePos x="0" y="0"/>
          <wp:positionH relativeFrom="page">
            <wp:posOffset>336550</wp:posOffset>
          </wp:positionH>
          <wp:positionV relativeFrom="page">
            <wp:posOffset>419100</wp:posOffset>
          </wp:positionV>
          <wp:extent cx="1364055" cy="495935"/>
          <wp:effectExtent l="0" t="0" r="762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dent_logo_white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055" cy="495935"/>
                  </a:xfrm>
                  <a:prstGeom prst="rect">
                    <a:avLst/>
                  </a:prstGeom>
                </pic:spPr>
              </pic:pic>
            </a:graphicData>
          </a:graphic>
          <wp14:sizeRelH relativeFrom="margin">
            <wp14:pctWidth>0</wp14:pctWidth>
          </wp14:sizeRelH>
          <wp14:sizeRelV relativeFrom="margin">
            <wp14:pctHeight>0</wp14:pctHeight>
          </wp14:sizeRelV>
        </wp:anchor>
      </w:drawing>
    </w:r>
    <w:r w:rsidR="004025B0">
      <w:rPr>
        <w:noProof/>
      </w:rPr>
      <w:t xml:space="preserve">         </w:t>
    </w:r>
    <w:r w:rsidR="009F22D7">
      <w:rPr>
        <w:noProof/>
      </w:rPr>
      <w:t xml:space="preserve">  </w:t>
    </w:r>
    <w:r w:rsidR="004025B0">
      <w:rPr>
        <w:noProof/>
      </w:rPr>
      <w:t xml:space="preserve">        </w:t>
    </w:r>
    <w:r w:rsidR="009F22D7">
      <w:rPr>
        <w:noProof/>
      </w:rPr>
      <w:t xml:space="preserve">  </w:t>
    </w:r>
    <w:r w:rsidR="00653C4F">
      <w:rPr>
        <w:noProof/>
      </w:rPr>
      <w:t xml:space="preserve">              </w:t>
    </w:r>
    <w:r w:rsidR="00653C4F">
      <w:rPr>
        <w:noProof/>
      </w:rPr>
      <w:drawing>
        <wp:inline distT="0" distB="0" distL="0" distR="0" wp14:anchorId="746AF2ED" wp14:editId="45F6744B">
          <wp:extent cx="1188720" cy="59753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97535"/>
                  </a:xfrm>
                  <a:prstGeom prst="rect">
                    <a:avLst/>
                  </a:prstGeom>
                  <a:noFill/>
                </pic:spPr>
              </pic:pic>
            </a:graphicData>
          </a:graphic>
        </wp:inline>
      </w:drawing>
    </w:r>
    <w:r w:rsidR="00653C4F">
      <w:rPr>
        <w:noProof/>
      </w:rPr>
      <w:t xml:space="preserve">          </w:t>
    </w:r>
    <w:r w:rsidR="00653C4F">
      <w:rPr>
        <w:noProof/>
      </w:rPr>
      <w:drawing>
        <wp:inline distT="0" distB="0" distL="0" distR="0" wp14:anchorId="17B5B93A" wp14:editId="318F9547">
          <wp:extent cx="1493520" cy="63373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633730"/>
                  </a:xfrm>
                  <a:prstGeom prst="rect">
                    <a:avLst/>
                  </a:prstGeom>
                  <a:noFill/>
                </pic:spPr>
              </pic:pic>
            </a:graphicData>
          </a:graphic>
        </wp:inline>
      </w:drawing>
    </w:r>
    <w:r w:rsidR="00653C4F">
      <w:rPr>
        <w:noProof/>
      </w:rPr>
      <w:t xml:space="preserve">           </w:t>
    </w:r>
    <w:r w:rsidR="00653C4F">
      <w:rPr>
        <w:noProof/>
      </w:rPr>
      <w:drawing>
        <wp:inline distT="0" distB="0" distL="0" distR="0" wp14:anchorId="4365FAC2" wp14:editId="3A51AB36">
          <wp:extent cx="1579245" cy="756285"/>
          <wp:effectExtent l="0" t="0" r="1905" b="571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924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385D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B1FB3"/>
    <w:multiLevelType w:val="hybridMultilevel"/>
    <w:tmpl w:val="CF4A0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7B8C"/>
    <w:multiLevelType w:val="hybridMultilevel"/>
    <w:tmpl w:val="1C3A58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E65490"/>
    <w:multiLevelType w:val="hybridMultilevel"/>
    <w:tmpl w:val="D7DC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6008A"/>
    <w:multiLevelType w:val="hybridMultilevel"/>
    <w:tmpl w:val="BD889D1C"/>
    <w:lvl w:ilvl="0" w:tplc="AE3E2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64A3"/>
    <w:multiLevelType w:val="hybridMultilevel"/>
    <w:tmpl w:val="1DC8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06401"/>
    <w:multiLevelType w:val="hybridMultilevel"/>
    <w:tmpl w:val="A7588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B152AC"/>
    <w:multiLevelType w:val="multilevel"/>
    <w:tmpl w:val="890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90DF3"/>
    <w:multiLevelType w:val="hybridMultilevel"/>
    <w:tmpl w:val="EE167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523C24"/>
    <w:multiLevelType w:val="hybridMultilevel"/>
    <w:tmpl w:val="721C1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8F0CCF"/>
    <w:multiLevelType w:val="hybridMultilevel"/>
    <w:tmpl w:val="1F3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253D9"/>
    <w:multiLevelType w:val="hybridMultilevel"/>
    <w:tmpl w:val="E72631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A0D98"/>
    <w:multiLevelType w:val="hybridMultilevel"/>
    <w:tmpl w:val="7342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F6C88"/>
    <w:multiLevelType w:val="hybridMultilevel"/>
    <w:tmpl w:val="BDBA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46D9A"/>
    <w:multiLevelType w:val="hybridMultilevel"/>
    <w:tmpl w:val="C382D650"/>
    <w:lvl w:ilvl="0" w:tplc="6FC07596">
      <w:start w:val="1"/>
      <w:numFmt w:val="upp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71044"/>
    <w:multiLevelType w:val="hybridMultilevel"/>
    <w:tmpl w:val="8CA66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A65C5"/>
    <w:multiLevelType w:val="hybridMultilevel"/>
    <w:tmpl w:val="2BC8F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84C58"/>
    <w:multiLevelType w:val="hybridMultilevel"/>
    <w:tmpl w:val="341C5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2551D"/>
    <w:multiLevelType w:val="hybridMultilevel"/>
    <w:tmpl w:val="F51C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74D33"/>
    <w:multiLevelType w:val="hybridMultilevel"/>
    <w:tmpl w:val="15C0E94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7B0114"/>
    <w:multiLevelType w:val="hybridMultilevel"/>
    <w:tmpl w:val="32CE6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510C1D"/>
    <w:multiLevelType w:val="hybridMultilevel"/>
    <w:tmpl w:val="DDE09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970170"/>
    <w:multiLevelType w:val="hybridMultilevel"/>
    <w:tmpl w:val="0E2E3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82667"/>
    <w:multiLevelType w:val="hybridMultilevel"/>
    <w:tmpl w:val="AACA770E"/>
    <w:lvl w:ilvl="0" w:tplc="AE3E2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57D83"/>
    <w:multiLevelType w:val="hybridMultilevel"/>
    <w:tmpl w:val="CC5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A3F55"/>
    <w:multiLevelType w:val="hybridMultilevel"/>
    <w:tmpl w:val="BD32B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B55373"/>
    <w:multiLevelType w:val="hybridMultilevel"/>
    <w:tmpl w:val="4852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86BD5"/>
    <w:multiLevelType w:val="hybridMultilevel"/>
    <w:tmpl w:val="47643E9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515861BA"/>
    <w:multiLevelType w:val="multilevel"/>
    <w:tmpl w:val="C70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F83E33"/>
    <w:multiLevelType w:val="hybridMultilevel"/>
    <w:tmpl w:val="F7AE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57487"/>
    <w:multiLevelType w:val="hybridMultilevel"/>
    <w:tmpl w:val="5142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248F9"/>
    <w:multiLevelType w:val="hybridMultilevel"/>
    <w:tmpl w:val="68D8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F0ADA"/>
    <w:multiLevelType w:val="hybridMultilevel"/>
    <w:tmpl w:val="DDA0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924C4"/>
    <w:multiLevelType w:val="hybridMultilevel"/>
    <w:tmpl w:val="7A42CA66"/>
    <w:lvl w:ilvl="0" w:tplc="44ACEE8C">
      <w:start w:val="1"/>
      <w:numFmt w:val="lowerLetter"/>
      <w:lvlText w:val="%1)"/>
      <w:lvlJc w:val="left"/>
      <w:pPr>
        <w:ind w:left="720" w:hanging="360"/>
      </w:pPr>
    </w:lvl>
    <w:lvl w:ilvl="1" w:tplc="F2F409B2">
      <w:start w:val="1"/>
      <w:numFmt w:val="lowerLetter"/>
      <w:lvlText w:val="%2)"/>
      <w:lvlJc w:val="left"/>
      <w:pPr>
        <w:ind w:left="720" w:hanging="360"/>
      </w:pPr>
    </w:lvl>
    <w:lvl w:ilvl="2" w:tplc="2FDEDA52">
      <w:start w:val="1"/>
      <w:numFmt w:val="lowerLetter"/>
      <w:lvlText w:val="%3)"/>
      <w:lvlJc w:val="left"/>
      <w:pPr>
        <w:ind w:left="720" w:hanging="360"/>
      </w:pPr>
    </w:lvl>
    <w:lvl w:ilvl="3" w:tplc="14544D7A">
      <w:start w:val="1"/>
      <w:numFmt w:val="lowerLetter"/>
      <w:lvlText w:val="%4)"/>
      <w:lvlJc w:val="left"/>
      <w:pPr>
        <w:ind w:left="720" w:hanging="360"/>
      </w:pPr>
    </w:lvl>
    <w:lvl w:ilvl="4" w:tplc="AD5AF6E4">
      <w:start w:val="1"/>
      <w:numFmt w:val="lowerLetter"/>
      <w:lvlText w:val="%5)"/>
      <w:lvlJc w:val="left"/>
      <w:pPr>
        <w:ind w:left="720" w:hanging="360"/>
      </w:pPr>
    </w:lvl>
    <w:lvl w:ilvl="5" w:tplc="47B687D0">
      <w:start w:val="1"/>
      <w:numFmt w:val="lowerLetter"/>
      <w:lvlText w:val="%6)"/>
      <w:lvlJc w:val="left"/>
      <w:pPr>
        <w:ind w:left="720" w:hanging="360"/>
      </w:pPr>
    </w:lvl>
    <w:lvl w:ilvl="6" w:tplc="D110C834">
      <w:start w:val="1"/>
      <w:numFmt w:val="lowerLetter"/>
      <w:lvlText w:val="%7)"/>
      <w:lvlJc w:val="left"/>
      <w:pPr>
        <w:ind w:left="720" w:hanging="360"/>
      </w:pPr>
    </w:lvl>
    <w:lvl w:ilvl="7" w:tplc="F968A1FC">
      <w:start w:val="1"/>
      <w:numFmt w:val="lowerLetter"/>
      <w:lvlText w:val="%8)"/>
      <w:lvlJc w:val="left"/>
      <w:pPr>
        <w:ind w:left="720" w:hanging="360"/>
      </w:pPr>
    </w:lvl>
    <w:lvl w:ilvl="8" w:tplc="CD9C96DE">
      <w:start w:val="1"/>
      <w:numFmt w:val="lowerLetter"/>
      <w:lvlText w:val="%9)"/>
      <w:lvlJc w:val="left"/>
      <w:pPr>
        <w:ind w:left="720" w:hanging="360"/>
      </w:pPr>
    </w:lvl>
  </w:abstractNum>
  <w:abstractNum w:abstractNumId="34" w15:restartNumberingAfterBreak="0">
    <w:nsid w:val="668537F4"/>
    <w:multiLevelType w:val="hybridMultilevel"/>
    <w:tmpl w:val="721C1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E903B1"/>
    <w:multiLevelType w:val="hybridMultilevel"/>
    <w:tmpl w:val="8092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A2F88"/>
    <w:multiLevelType w:val="hybridMultilevel"/>
    <w:tmpl w:val="41B6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F2C43"/>
    <w:multiLevelType w:val="hybridMultilevel"/>
    <w:tmpl w:val="30325AD4"/>
    <w:lvl w:ilvl="0" w:tplc="44D06104">
      <w:start w:val="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26D90"/>
    <w:multiLevelType w:val="hybridMultilevel"/>
    <w:tmpl w:val="6338CD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121026"/>
    <w:multiLevelType w:val="hybridMultilevel"/>
    <w:tmpl w:val="24869E0E"/>
    <w:lvl w:ilvl="0" w:tplc="774639EA">
      <w:start w:val="1"/>
      <w:numFmt w:val="bullet"/>
      <w:pStyle w:val="BulletedText"/>
      <w:lvlText w:val="&lt;"/>
      <w:lvlJc w:val="left"/>
      <w:pPr>
        <w:ind w:left="720" w:hanging="360"/>
      </w:pPr>
      <w:rPr>
        <w:rFonts w:ascii="Webdings" w:hAnsi="Webdings" w:hint="default"/>
        <w:color w:val="FA461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A2EDB"/>
    <w:multiLevelType w:val="multilevel"/>
    <w:tmpl w:val="AB4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D2219"/>
    <w:multiLevelType w:val="multilevel"/>
    <w:tmpl w:val="7CD8D83A"/>
    <w:lvl w:ilvl="0">
      <w:start w:val="1"/>
      <w:numFmt w:val="decimal"/>
      <w:pStyle w:val="OrangeSub-header"/>
      <w:lvlText w:val="%1."/>
      <w:lvlJc w:val="left"/>
      <w:pPr>
        <w:ind w:left="360" w:hanging="360"/>
      </w:pPr>
      <w:rPr>
        <w:rFonts w:hint="default"/>
      </w:rPr>
    </w:lvl>
    <w:lvl w:ilvl="1">
      <w:start w:val="1"/>
      <w:numFmt w:val="decimal"/>
      <w:pStyle w:val="OrangeSubhead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B7742E"/>
    <w:multiLevelType w:val="hybridMultilevel"/>
    <w:tmpl w:val="BA4A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90F97"/>
    <w:multiLevelType w:val="hybridMultilevel"/>
    <w:tmpl w:val="986A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15F18"/>
    <w:multiLevelType w:val="hybridMultilevel"/>
    <w:tmpl w:val="B5F897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B6E9B"/>
    <w:multiLevelType w:val="hybridMultilevel"/>
    <w:tmpl w:val="F9E0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093261">
    <w:abstractNumId w:val="41"/>
  </w:num>
  <w:num w:numId="2" w16cid:durableId="1006929">
    <w:abstractNumId w:val="39"/>
  </w:num>
  <w:num w:numId="3" w16cid:durableId="674697695">
    <w:abstractNumId w:val="22"/>
  </w:num>
  <w:num w:numId="4" w16cid:durableId="2056588130">
    <w:abstractNumId w:val="6"/>
  </w:num>
  <w:num w:numId="5" w16cid:durableId="1767538155">
    <w:abstractNumId w:val="15"/>
  </w:num>
  <w:num w:numId="6" w16cid:durableId="1357584041">
    <w:abstractNumId w:val="34"/>
  </w:num>
  <w:num w:numId="7" w16cid:durableId="927032773">
    <w:abstractNumId w:val="5"/>
  </w:num>
  <w:num w:numId="8" w16cid:durableId="1610115182">
    <w:abstractNumId w:val="42"/>
  </w:num>
  <w:num w:numId="9" w16cid:durableId="1195194434">
    <w:abstractNumId w:val="18"/>
  </w:num>
  <w:num w:numId="10" w16cid:durableId="1355112839">
    <w:abstractNumId w:val="45"/>
  </w:num>
  <w:num w:numId="11" w16cid:durableId="1153570297">
    <w:abstractNumId w:val="36"/>
  </w:num>
  <w:num w:numId="12" w16cid:durableId="657153527">
    <w:abstractNumId w:val="14"/>
  </w:num>
  <w:num w:numId="13" w16cid:durableId="585504099">
    <w:abstractNumId w:val="11"/>
  </w:num>
  <w:num w:numId="14" w16cid:durableId="1852791648">
    <w:abstractNumId w:val="38"/>
  </w:num>
  <w:num w:numId="15" w16cid:durableId="60568345">
    <w:abstractNumId w:val="19"/>
  </w:num>
  <w:num w:numId="16" w16cid:durableId="1306159677">
    <w:abstractNumId w:val="8"/>
  </w:num>
  <w:num w:numId="17" w16cid:durableId="542057154">
    <w:abstractNumId w:val="3"/>
  </w:num>
  <w:num w:numId="18" w16cid:durableId="1792286190">
    <w:abstractNumId w:val="13"/>
  </w:num>
  <w:num w:numId="19" w16cid:durableId="729310572">
    <w:abstractNumId w:val="31"/>
  </w:num>
  <w:num w:numId="20" w16cid:durableId="1917015389">
    <w:abstractNumId w:val="26"/>
  </w:num>
  <w:num w:numId="21" w16cid:durableId="785545094">
    <w:abstractNumId w:val="10"/>
  </w:num>
  <w:num w:numId="22" w16cid:durableId="352927729">
    <w:abstractNumId w:val="9"/>
  </w:num>
  <w:num w:numId="23" w16cid:durableId="621498623">
    <w:abstractNumId w:val="21"/>
  </w:num>
  <w:num w:numId="24" w16cid:durableId="767703002">
    <w:abstractNumId w:val="29"/>
  </w:num>
  <w:num w:numId="25" w16cid:durableId="314336440">
    <w:abstractNumId w:val="27"/>
  </w:num>
  <w:num w:numId="26" w16cid:durableId="367336630">
    <w:abstractNumId w:val="35"/>
  </w:num>
  <w:num w:numId="27" w16cid:durableId="695160660">
    <w:abstractNumId w:val="23"/>
  </w:num>
  <w:num w:numId="28" w16cid:durableId="21514105">
    <w:abstractNumId w:val="4"/>
  </w:num>
  <w:num w:numId="29" w16cid:durableId="638614960">
    <w:abstractNumId w:val="43"/>
  </w:num>
  <w:num w:numId="30" w16cid:durableId="246309089">
    <w:abstractNumId w:val="16"/>
  </w:num>
  <w:num w:numId="31" w16cid:durableId="759058166">
    <w:abstractNumId w:val="44"/>
  </w:num>
  <w:num w:numId="32" w16cid:durableId="1006787453">
    <w:abstractNumId w:val="17"/>
  </w:num>
  <w:num w:numId="33" w16cid:durableId="1267620404">
    <w:abstractNumId w:val="24"/>
  </w:num>
  <w:num w:numId="34" w16cid:durableId="1524248183">
    <w:abstractNumId w:val="2"/>
  </w:num>
  <w:num w:numId="35" w16cid:durableId="1501579056">
    <w:abstractNumId w:val="1"/>
  </w:num>
  <w:num w:numId="36" w16cid:durableId="604970150">
    <w:abstractNumId w:val="12"/>
  </w:num>
  <w:num w:numId="37" w16cid:durableId="244800444">
    <w:abstractNumId w:val="25"/>
  </w:num>
  <w:num w:numId="38" w16cid:durableId="713382695">
    <w:abstractNumId w:val="20"/>
  </w:num>
  <w:num w:numId="39" w16cid:durableId="1221860974">
    <w:abstractNumId w:val="37"/>
  </w:num>
  <w:num w:numId="40" w16cid:durableId="99224561">
    <w:abstractNumId w:val="0"/>
  </w:num>
  <w:num w:numId="41" w16cid:durableId="1911580294">
    <w:abstractNumId w:val="32"/>
  </w:num>
  <w:num w:numId="42" w16cid:durableId="356662127">
    <w:abstractNumId w:val="30"/>
  </w:num>
  <w:num w:numId="43" w16cid:durableId="917324005">
    <w:abstractNumId w:val="33"/>
  </w:num>
  <w:num w:numId="44" w16cid:durableId="1410229186">
    <w:abstractNumId w:val="7"/>
  </w:num>
  <w:num w:numId="45" w16cid:durableId="690380173">
    <w:abstractNumId w:val="40"/>
  </w:num>
  <w:num w:numId="46" w16cid:durableId="587217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D0"/>
    <w:rsid w:val="00002AE0"/>
    <w:rsid w:val="0000661E"/>
    <w:rsid w:val="000134A2"/>
    <w:rsid w:val="0001364B"/>
    <w:rsid w:val="00013F40"/>
    <w:rsid w:val="000157BF"/>
    <w:rsid w:val="00015AD2"/>
    <w:rsid w:val="000203A1"/>
    <w:rsid w:val="00020660"/>
    <w:rsid w:val="000206C0"/>
    <w:rsid w:val="00025411"/>
    <w:rsid w:val="00026DB0"/>
    <w:rsid w:val="00037612"/>
    <w:rsid w:val="00042465"/>
    <w:rsid w:val="0004511B"/>
    <w:rsid w:val="00054510"/>
    <w:rsid w:val="0005724A"/>
    <w:rsid w:val="000573F6"/>
    <w:rsid w:val="00060490"/>
    <w:rsid w:val="00061F43"/>
    <w:rsid w:val="00071821"/>
    <w:rsid w:val="00072EEF"/>
    <w:rsid w:val="00074E0F"/>
    <w:rsid w:val="00076A63"/>
    <w:rsid w:val="000770EF"/>
    <w:rsid w:val="00080625"/>
    <w:rsid w:val="00087B5B"/>
    <w:rsid w:val="00090BCF"/>
    <w:rsid w:val="00090EDA"/>
    <w:rsid w:val="000923EF"/>
    <w:rsid w:val="00093637"/>
    <w:rsid w:val="000A0905"/>
    <w:rsid w:val="000A179D"/>
    <w:rsid w:val="000A2F07"/>
    <w:rsid w:val="000A4AE6"/>
    <w:rsid w:val="000A6FE8"/>
    <w:rsid w:val="000B482D"/>
    <w:rsid w:val="000B5DD7"/>
    <w:rsid w:val="000B678E"/>
    <w:rsid w:val="000C090E"/>
    <w:rsid w:val="000C3C1B"/>
    <w:rsid w:val="000C68A6"/>
    <w:rsid w:val="000E0060"/>
    <w:rsid w:val="000E2B38"/>
    <w:rsid w:val="000E63D3"/>
    <w:rsid w:val="000E7DE0"/>
    <w:rsid w:val="000F1276"/>
    <w:rsid w:val="000F5367"/>
    <w:rsid w:val="00105EEC"/>
    <w:rsid w:val="0010621D"/>
    <w:rsid w:val="00106BC9"/>
    <w:rsid w:val="00110855"/>
    <w:rsid w:val="00113D57"/>
    <w:rsid w:val="00114F8E"/>
    <w:rsid w:val="00121B15"/>
    <w:rsid w:val="00123027"/>
    <w:rsid w:val="00124D7F"/>
    <w:rsid w:val="001347A9"/>
    <w:rsid w:val="00142DC8"/>
    <w:rsid w:val="001453E1"/>
    <w:rsid w:val="00152287"/>
    <w:rsid w:val="00153F85"/>
    <w:rsid w:val="00155607"/>
    <w:rsid w:val="00162E3D"/>
    <w:rsid w:val="001639E4"/>
    <w:rsid w:val="00163AF5"/>
    <w:rsid w:val="001645B8"/>
    <w:rsid w:val="00176D49"/>
    <w:rsid w:val="00176E9E"/>
    <w:rsid w:val="00177167"/>
    <w:rsid w:val="00184EFF"/>
    <w:rsid w:val="00190D20"/>
    <w:rsid w:val="00190FF2"/>
    <w:rsid w:val="0019744A"/>
    <w:rsid w:val="001A066E"/>
    <w:rsid w:val="001A0F9B"/>
    <w:rsid w:val="001A3A55"/>
    <w:rsid w:val="001A40F5"/>
    <w:rsid w:val="001A459D"/>
    <w:rsid w:val="001A7567"/>
    <w:rsid w:val="001B2A77"/>
    <w:rsid w:val="001C6E98"/>
    <w:rsid w:val="001C751D"/>
    <w:rsid w:val="001C75AE"/>
    <w:rsid w:val="001D1C08"/>
    <w:rsid w:val="001D2E80"/>
    <w:rsid w:val="001E4B0F"/>
    <w:rsid w:val="001E739E"/>
    <w:rsid w:val="001E7840"/>
    <w:rsid w:val="001F013A"/>
    <w:rsid w:val="001F1209"/>
    <w:rsid w:val="001F210D"/>
    <w:rsid w:val="001F7D18"/>
    <w:rsid w:val="00201E2F"/>
    <w:rsid w:val="00204052"/>
    <w:rsid w:val="00204D87"/>
    <w:rsid w:val="00216FEC"/>
    <w:rsid w:val="002175CA"/>
    <w:rsid w:val="002242F7"/>
    <w:rsid w:val="0022678B"/>
    <w:rsid w:val="002268B3"/>
    <w:rsid w:val="00226973"/>
    <w:rsid w:val="002271BA"/>
    <w:rsid w:val="00230970"/>
    <w:rsid w:val="00231010"/>
    <w:rsid w:val="002348B1"/>
    <w:rsid w:val="00235CFD"/>
    <w:rsid w:val="00235ECB"/>
    <w:rsid w:val="00244408"/>
    <w:rsid w:val="002460F6"/>
    <w:rsid w:val="0025083F"/>
    <w:rsid w:val="00253485"/>
    <w:rsid w:val="00253873"/>
    <w:rsid w:val="0025444B"/>
    <w:rsid w:val="002609A3"/>
    <w:rsid w:val="00263B44"/>
    <w:rsid w:val="00264580"/>
    <w:rsid w:val="00265C56"/>
    <w:rsid w:val="00265DDD"/>
    <w:rsid w:val="002700B2"/>
    <w:rsid w:val="00270746"/>
    <w:rsid w:val="00270DC4"/>
    <w:rsid w:val="0028321F"/>
    <w:rsid w:val="00284B3B"/>
    <w:rsid w:val="00284C75"/>
    <w:rsid w:val="0029568F"/>
    <w:rsid w:val="002961EF"/>
    <w:rsid w:val="00296FC7"/>
    <w:rsid w:val="002A3A2F"/>
    <w:rsid w:val="002B0E90"/>
    <w:rsid w:val="002B0ECD"/>
    <w:rsid w:val="002B544F"/>
    <w:rsid w:val="002C2FCC"/>
    <w:rsid w:val="002C3B06"/>
    <w:rsid w:val="002C4449"/>
    <w:rsid w:val="002C78EB"/>
    <w:rsid w:val="002E1814"/>
    <w:rsid w:val="002F4705"/>
    <w:rsid w:val="002F56CC"/>
    <w:rsid w:val="002F5E78"/>
    <w:rsid w:val="002F76D0"/>
    <w:rsid w:val="00302EA2"/>
    <w:rsid w:val="003114AE"/>
    <w:rsid w:val="00312246"/>
    <w:rsid w:val="00315728"/>
    <w:rsid w:val="00323371"/>
    <w:rsid w:val="00337D61"/>
    <w:rsid w:val="00341876"/>
    <w:rsid w:val="0034247F"/>
    <w:rsid w:val="0034362C"/>
    <w:rsid w:val="00351DC8"/>
    <w:rsid w:val="003533A4"/>
    <w:rsid w:val="00355A00"/>
    <w:rsid w:val="003575B9"/>
    <w:rsid w:val="003648A4"/>
    <w:rsid w:val="00365C61"/>
    <w:rsid w:val="00366092"/>
    <w:rsid w:val="00367350"/>
    <w:rsid w:val="003679AC"/>
    <w:rsid w:val="003747E0"/>
    <w:rsid w:val="00375865"/>
    <w:rsid w:val="00382AD8"/>
    <w:rsid w:val="00390FE2"/>
    <w:rsid w:val="00394702"/>
    <w:rsid w:val="00395C45"/>
    <w:rsid w:val="003963BA"/>
    <w:rsid w:val="003A3B89"/>
    <w:rsid w:val="003A7ED3"/>
    <w:rsid w:val="003B24C0"/>
    <w:rsid w:val="003B3684"/>
    <w:rsid w:val="003B4131"/>
    <w:rsid w:val="003C05F5"/>
    <w:rsid w:val="003C0B6D"/>
    <w:rsid w:val="003C2DA3"/>
    <w:rsid w:val="003C7421"/>
    <w:rsid w:val="003D1EAE"/>
    <w:rsid w:val="003D5EB7"/>
    <w:rsid w:val="003E0660"/>
    <w:rsid w:val="003F15F3"/>
    <w:rsid w:val="003F19A0"/>
    <w:rsid w:val="003F2445"/>
    <w:rsid w:val="003F3CF8"/>
    <w:rsid w:val="003F4770"/>
    <w:rsid w:val="003F5080"/>
    <w:rsid w:val="003F6C38"/>
    <w:rsid w:val="00401BE4"/>
    <w:rsid w:val="004025B0"/>
    <w:rsid w:val="00406E40"/>
    <w:rsid w:val="00407CDD"/>
    <w:rsid w:val="00414971"/>
    <w:rsid w:val="00414E53"/>
    <w:rsid w:val="004221F7"/>
    <w:rsid w:val="004232A5"/>
    <w:rsid w:val="004232D2"/>
    <w:rsid w:val="00423764"/>
    <w:rsid w:val="0042538B"/>
    <w:rsid w:val="004259EA"/>
    <w:rsid w:val="00430C70"/>
    <w:rsid w:val="00431AEF"/>
    <w:rsid w:val="0043528F"/>
    <w:rsid w:val="004357C6"/>
    <w:rsid w:val="004404FC"/>
    <w:rsid w:val="0044254E"/>
    <w:rsid w:val="004462A4"/>
    <w:rsid w:val="004464EB"/>
    <w:rsid w:val="00453B51"/>
    <w:rsid w:val="004543B5"/>
    <w:rsid w:val="004552B7"/>
    <w:rsid w:val="00455D81"/>
    <w:rsid w:val="00456510"/>
    <w:rsid w:val="00457954"/>
    <w:rsid w:val="00462055"/>
    <w:rsid w:val="00465FF4"/>
    <w:rsid w:val="0047248D"/>
    <w:rsid w:val="00476066"/>
    <w:rsid w:val="00476C3C"/>
    <w:rsid w:val="00476CD8"/>
    <w:rsid w:val="00477240"/>
    <w:rsid w:val="00490BCE"/>
    <w:rsid w:val="00490DAE"/>
    <w:rsid w:val="00492AC4"/>
    <w:rsid w:val="0049395E"/>
    <w:rsid w:val="0049678F"/>
    <w:rsid w:val="004C51A4"/>
    <w:rsid w:val="004C6387"/>
    <w:rsid w:val="004D2507"/>
    <w:rsid w:val="004D65FF"/>
    <w:rsid w:val="004E029A"/>
    <w:rsid w:val="004E18DA"/>
    <w:rsid w:val="004E2D5F"/>
    <w:rsid w:val="004E683E"/>
    <w:rsid w:val="004E7C77"/>
    <w:rsid w:val="004F2E8A"/>
    <w:rsid w:val="004F466D"/>
    <w:rsid w:val="004F6135"/>
    <w:rsid w:val="005073E9"/>
    <w:rsid w:val="00514FBC"/>
    <w:rsid w:val="00516CFA"/>
    <w:rsid w:val="005170EB"/>
    <w:rsid w:val="0052265D"/>
    <w:rsid w:val="005233D5"/>
    <w:rsid w:val="0052450E"/>
    <w:rsid w:val="00526EB8"/>
    <w:rsid w:val="00527F7C"/>
    <w:rsid w:val="00532214"/>
    <w:rsid w:val="00536913"/>
    <w:rsid w:val="005369A1"/>
    <w:rsid w:val="005369DD"/>
    <w:rsid w:val="00542BFB"/>
    <w:rsid w:val="00551D8B"/>
    <w:rsid w:val="00553AE8"/>
    <w:rsid w:val="00557122"/>
    <w:rsid w:val="005641D0"/>
    <w:rsid w:val="00573A51"/>
    <w:rsid w:val="00574563"/>
    <w:rsid w:val="0058723C"/>
    <w:rsid w:val="00590A10"/>
    <w:rsid w:val="005923D6"/>
    <w:rsid w:val="00595E91"/>
    <w:rsid w:val="0059700F"/>
    <w:rsid w:val="005A06CA"/>
    <w:rsid w:val="005A14BD"/>
    <w:rsid w:val="005A182D"/>
    <w:rsid w:val="005A5168"/>
    <w:rsid w:val="005B01F6"/>
    <w:rsid w:val="005B0B22"/>
    <w:rsid w:val="005B15FA"/>
    <w:rsid w:val="005B397C"/>
    <w:rsid w:val="005C0678"/>
    <w:rsid w:val="005C211F"/>
    <w:rsid w:val="005C23AD"/>
    <w:rsid w:val="005C3506"/>
    <w:rsid w:val="005C769B"/>
    <w:rsid w:val="005D20F7"/>
    <w:rsid w:val="005E011C"/>
    <w:rsid w:val="005E5702"/>
    <w:rsid w:val="005F2925"/>
    <w:rsid w:val="005F2F13"/>
    <w:rsid w:val="005F3A93"/>
    <w:rsid w:val="005F4462"/>
    <w:rsid w:val="005F589B"/>
    <w:rsid w:val="006057E2"/>
    <w:rsid w:val="006073FD"/>
    <w:rsid w:val="00615E7F"/>
    <w:rsid w:val="00616107"/>
    <w:rsid w:val="00616204"/>
    <w:rsid w:val="00622D67"/>
    <w:rsid w:val="00623E88"/>
    <w:rsid w:val="00624C21"/>
    <w:rsid w:val="00625F1D"/>
    <w:rsid w:val="00631846"/>
    <w:rsid w:val="00632B05"/>
    <w:rsid w:val="00635853"/>
    <w:rsid w:val="00641480"/>
    <w:rsid w:val="00642348"/>
    <w:rsid w:val="00643F81"/>
    <w:rsid w:val="00650598"/>
    <w:rsid w:val="00653687"/>
    <w:rsid w:val="00653C4F"/>
    <w:rsid w:val="006543AA"/>
    <w:rsid w:val="00655E7D"/>
    <w:rsid w:val="006563E7"/>
    <w:rsid w:val="006577C2"/>
    <w:rsid w:val="006655B2"/>
    <w:rsid w:val="00672914"/>
    <w:rsid w:val="00680F60"/>
    <w:rsid w:val="00687E02"/>
    <w:rsid w:val="0069482D"/>
    <w:rsid w:val="00695554"/>
    <w:rsid w:val="006A4188"/>
    <w:rsid w:val="006A786F"/>
    <w:rsid w:val="006B3676"/>
    <w:rsid w:val="006C0386"/>
    <w:rsid w:val="006C0BC9"/>
    <w:rsid w:val="006C118D"/>
    <w:rsid w:val="006C2BEF"/>
    <w:rsid w:val="006C34E4"/>
    <w:rsid w:val="006D654B"/>
    <w:rsid w:val="006D7862"/>
    <w:rsid w:val="006D7A03"/>
    <w:rsid w:val="006E261A"/>
    <w:rsid w:val="006E2C5E"/>
    <w:rsid w:val="006E76EC"/>
    <w:rsid w:val="006F3C6D"/>
    <w:rsid w:val="006F6518"/>
    <w:rsid w:val="006F6BCF"/>
    <w:rsid w:val="00705C56"/>
    <w:rsid w:val="007070E1"/>
    <w:rsid w:val="0072662B"/>
    <w:rsid w:val="00726F0A"/>
    <w:rsid w:val="007277D6"/>
    <w:rsid w:val="007335A7"/>
    <w:rsid w:val="00740276"/>
    <w:rsid w:val="00747F4B"/>
    <w:rsid w:val="00751A57"/>
    <w:rsid w:val="00755CEC"/>
    <w:rsid w:val="007575B2"/>
    <w:rsid w:val="00773222"/>
    <w:rsid w:val="0077346F"/>
    <w:rsid w:val="0077649C"/>
    <w:rsid w:val="00777A18"/>
    <w:rsid w:val="0078587E"/>
    <w:rsid w:val="00786AE9"/>
    <w:rsid w:val="0079326A"/>
    <w:rsid w:val="007A0D68"/>
    <w:rsid w:val="007A1EAC"/>
    <w:rsid w:val="007A50CD"/>
    <w:rsid w:val="007A688D"/>
    <w:rsid w:val="007B243B"/>
    <w:rsid w:val="007B4931"/>
    <w:rsid w:val="007B50A5"/>
    <w:rsid w:val="007C2CDD"/>
    <w:rsid w:val="007C603E"/>
    <w:rsid w:val="007C7151"/>
    <w:rsid w:val="007C7C19"/>
    <w:rsid w:val="007C7F2F"/>
    <w:rsid w:val="007D0117"/>
    <w:rsid w:val="007D0BF0"/>
    <w:rsid w:val="007F2DB2"/>
    <w:rsid w:val="007F4DE9"/>
    <w:rsid w:val="00800A34"/>
    <w:rsid w:val="008065BB"/>
    <w:rsid w:val="00806CD0"/>
    <w:rsid w:val="00810124"/>
    <w:rsid w:val="00810675"/>
    <w:rsid w:val="008142F6"/>
    <w:rsid w:val="00814FAE"/>
    <w:rsid w:val="0082062E"/>
    <w:rsid w:val="008209AE"/>
    <w:rsid w:val="00821979"/>
    <w:rsid w:val="00822405"/>
    <w:rsid w:val="008239C7"/>
    <w:rsid w:val="00823DA7"/>
    <w:rsid w:val="00826DE5"/>
    <w:rsid w:val="008273A2"/>
    <w:rsid w:val="00832C80"/>
    <w:rsid w:val="00833DE9"/>
    <w:rsid w:val="008407EA"/>
    <w:rsid w:val="008440F3"/>
    <w:rsid w:val="00844B5B"/>
    <w:rsid w:val="008461A3"/>
    <w:rsid w:val="0084774B"/>
    <w:rsid w:val="0085088E"/>
    <w:rsid w:val="008534A8"/>
    <w:rsid w:val="00870999"/>
    <w:rsid w:val="00882FA3"/>
    <w:rsid w:val="00883BE6"/>
    <w:rsid w:val="00885B13"/>
    <w:rsid w:val="008923F4"/>
    <w:rsid w:val="0089447F"/>
    <w:rsid w:val="0089774B"/>
    <w:rsid w:val="008A1D56"/>
    <w:rsid w:val="008A34EB"/>
    <w:rsid w:val="008A4D86"/>
    <w:rsid w:val="008A7F79"/>
    <w:rsid w:val="008B12C2"/>
    <w:rsid w:val="008B164C"/>
    <w:rsid w:val="008B7093"/>
    <w:rsid w:val="008C2A3A"/>
    <w:rsid w:val="008C4986"/>
    <w:rsid w:val="008C550F"/>
    <w:rsid w:val="008C574C"/>
    <w:rsid w:val="008C7848"/>
    <w:rsid w:val="008D737C"/>
    <w:rsid w:val="008E7FD8"/>
    <w:rsid w:val="008F00C7"/>
    <w:rsid w:val="008F031A"/>
    <w:rsid w:val="008F16CA"/>
    <w:rsid w:val="008F3C4D"/>
    <w:rsid w:val="00900470"/>
    <w:rsid w:val="0090067B"/>
    <w:rsid w:val="00901C63"/>
    <w:rsid w:val="00902A08"/>
    <w:rsid w:val="00910733"/>
    <w:rsid w:val="00915E06"/>
    <w:rsid w:val="00920F4F"/>
    <w:rsid w:val="00925710"/>
    <w:rsid w:val="009308AD"/>
    <w:rsid w:val="00933D46"/>
    <w:rsid w:val="00937E10"/>
    <w:rsid w:val="009416EF"/>
    <w:rsid w:val="00942601"/>
    <w:rsid w:val="0094433B"/>
    <w:rsid w:val="0094557A"/>
    <w:rsid w:val="00947031"/>
    <w:rsid w:val="00952845"/>
    <w:rsid w:val="00952BE6"/>
    <w:rsid w:val="00962272"/>
    <w:rsid w:val="00966350"/>
    <w:rsid w:val="00966639"/>
    <w:rsid w:val="00977E26"/>
    <w:rsid w:val="00982134"/>
    <w:rsid w:val="0098227A"/>
    <w:rsid w:val="0098463F"/>
    <w:rsid w:val="0099504F"/>
    <w:rsid w:val="00995B5C"/>
    <w:rsid w:val="009B1016"/>
    <w:rsid w:val="009B6C11"/>
    <w:rsid w:val="009C1ACB"/>
    <w:rsid w:val="009C58CC"/>
    <w:rsid w:val="009C7783"/>
    <w:rsid w:val="009D069B"/>
    <w:rsid w:val="009D16FF"/>
    <w:rsid w:val="009E634E"/>
    <w:rsid w:val="009E7691"/>
    <w:rsid w:val="009F22D7"/>
    <w:rsid w:val="009F384D"/>
    <w:rsid w:val="009F385B"/>
    <w:rsid w:val="009F3BB4"/>
    <w:rsid w:val="009F4561"/>
    <w:rsid w:val="009F6D5D"/>
    <w:rsid w:val="00A05552"/>
    <w:rsid w:val="00A06A0A"/>
    <w:rsid w:val="00A06BC9"/>
    <w:rsid w:val="00A16676"/>
    <w:rsid w:val="00A16BBE"/>
    <w:rsid w:val="00A21543"/>
    <w:rsid w:val="00A21D9D"/>
    <w:rsid w:val="00A242A4"/>
    <w:rsid w:val="00A24817"/>
    <w:rsid w:val="00A25D6A"/>
    <w:rsid w:val="00A322D7"/>
    <w:rsid w:val="00A32405"/>
    <w:rsid w:val="00A336C7"/>
    <w:rsid w:val="00A42D8A"/>
    <w:rsid w:val="00A43D77"/>
    <w:rsid w:val="00A4434E"/>
    <w:rsid w:val="00A46769"/>
    <w:rsid w:val="00A52A0B"/>
    <w:rsid w:val="00A6227A"/>
    <w:rsid w:val="00A648CB"/>
    <w:rsid w:val="00A66F22"/>
    <w:rsid w:val="00A711F3"/>
    <w:rsid w:val="00A72338"/>
    <w:rsid w:val="00A75E78"/>
    <w:rsid w:val="00A767B9"/>
    <w:rsid w:val="00A77B8E"/>
    <w:rsid w:val="00A80F0E"/>
    <w:rsid w:val="00A81C10"/>
    <w:rsid w:val="00A85043"/>
    <w:rsid w:val="00A9003E"/>
    <w:rsid w:val="00A90189"/>
    <w:rsid w:val="00A93D03"/>
    <w:rsid w:val="00A94B5D"/>
    <w:rsid w:val="00A96549"/>
    <w:rsid w:val="00A97174"/>
    <w:rsid w:val="00AA147F"/>
    <w:rsid w:val="00AB1809"/>
    <w:rsid w:val="00AB3EDC"/>
    <w:rsid w:val="00AB42F7"/>
    <w:rsid w:val="00AB6E82"/>
    <w:rsid w:val="00AC7C59"/>
    <w:rsid w:val="00AD1149"/>
    <w:rsid w:val="00AD37B8"/>
    <w:rsid w:val="00AD62B7"/>
    <w:rsid w:val="00AF058A"/>
    <w:rsid w:val="00AF2306"/>
    <w:rsid w:val="00AF739F"/>
    <w:rsid w:val="00B00181"/>
    <w:rsid w:val="00B0125E"/>
    <w:rsid w:val="00B03E72"/>
    <w:rsid w:val="00B07374"/>
    <w:rsid w:val="00B07499"/>
    <w:rsid w:val="00B0778B"/>
    <w:rsid w:val="00B07CD3"/>
    <w:rsid w:val="00B10BC6"/>
    <w:rsid w:val="00B10C14"/>
    <w:rsid w:val="00B13089"/>
    <w:rsid w:val="00B15069"/>
    <w:rsid w:val="00B21240"/>
    <w:rsid w:val="00B219C1"/>
    <w:rsid w:val="00B268A0"/>
    <w:rsid w:val="00B27998"/>
    <w:rsid w:val="00B31965"/>
    <w:rsid w:val="00B36C06"/>
    <w:rsid w:val="00B44146"/>
    <w:rsid w:val="00B4627A"/>
    <w:rsid w:val="00B471A1"/>
    <w:rsid w:val="00B52AE2"/>
    <w:rsid w:val="00B5395F"/>
    <w:rsid w:val="00B55F35"/>
    <w:rsid w:val="00B620BC"/>
    <w:rsid w:val="00B63E9B"/>
    <w:rsid w:val="00B771AD"/>
    <w:rsid w:val="00B81A6E"/>
    <w:rsid w:val="00B821EF"/>
    <w:rsid w:val="00B8659B"/>
    <w:rsid w:val="00B93D85"/>
    <w:rsid w:val="00BA125F"/>
    <w:rsid w:val="00BA1C52"/>
    <w:rsid w:val="00BA295B"/>
    <w:rsid w:val="00BA356B"/>
    <w:rsid w:val="00BA35CE"/>
    <w:rsid w:val="00BA3766"/>
    <w:rsid w:val="00BA47B5"/>
    <w:rsid w:val="00BB1551"/>
    <w:rsid w:val="00BB4961"/>
    <w:rsid w:val="00BC059B"/>
    <w:rsid w:val="00BC2AF3"/>
    <w:rsid w:val="00BD638C"/>
    <w:rsid w:val="00BD6C90"/>
    <w:rsid w:val="00BD7081"/>
    <w:rsid w:val="00BE103F"/>
    <w:rsid w:val="00BE536E"/>
    <w:rsid w:val="00BF096F"/>
    <w:rsid w:val="00BF2DAA"/>
    <w:rsid w:val="00BF541E"/>
    <w:rsid w:val="00C040D3"/>
    <w:rsid w:val="00C058E1"/>
    <w:rsid w:val="00C062D1"/>
    <w:rsid w:val="00C07AC3"/>
    <w:rsid w:val="00C11D10"/>
    <w:rsid w:val="00C11F6B"/>
    <w:rsid w:val="00C12073"/>
    <w:rsid w:val="00C20725"/>
    <w:rsid w:val="00C21E92"/>
    <w:rsid w:val="00C24E1B"/>
    <w:rsid w:val="00C27776"/>
    <w:rsid w:val="00C3167A"/>
    <w:rsid w:val="00C329A1"/>
    <w:rsid w:val="00C332FC"/>
    <w:rsid w:val="00C33ACB"/>
    <w:rsid w:val="00C35044"/>
    <w:rsid w:val="00C403F1"/>
    <w:rsid w:val="00C533E6"/>
    <w:rsid w:val="00C54E97"/>
    <w:rsid w:val="00C5688A"/>
    <w:rsid w:val="00C5747E"/>
    <w:rsid w:val="00C81CE3"/>
    <w:rsid w:val="00C84011"/>
    <w:rsid w:val="00C8689D"/>
    <w:rsid w:val="00C92EAA"/>
    <w:rsid w:val="00CB1902"/>
    <w:rsid w:val="00CB20A5"/>
    <w:rsid w:val="00CB2DD8"/>
    <w:rsid w:val="00CB45E2"/>
    <w:rsid w:val="00CB532C"/>
    <w:rsid w:val="00CB5A79"/>
    <w:rsid w:val="00CB7AE2"/>
    <w:rsid w:val="00CC1314"/>
    <w:rsid w:val="00CC28C0"/>
    <w:rsid w:val="00CC64DA"/>
    <w:rsid w:val="00CD38BD"/>
    <w:rsid w:val="00CD3E19"/>
    <w:rsid w:val="00CD4683"/>
    <w:rsid w:val="00CE4197"/>
    <w:rsid w:val="00CE4838"/>
    <w:rsid w:val="00CE7592"/>
    <w:rsid w:val="00CF280C"/>
    <w:rsid w:val="00CF2926"/>
    <w:rsid w:val="00CF3D97"/>
    <w:rsid w:val="00CF6690"/>
    <w:rsid w:val="00D0269A"/>
    <w:rsid w:val="00D037C6"/>
    <w:rsid w:val="00D113D7"/>
    <w:rsid w:val="00D14C1C"/>
    <w:rsid w:val="00D152A1"/>
    <w:rsid w:val="00D15575"/>
    <w:rsid w:val="00D16BDE"/>
    <w:rsid w:val="00D233C2"/>
    <w:rsid w:val="00D23513"/>
    <w:rsid w:val="00D346D4"/>
    <w:rsid w:val="00D65002"/>
    <w:rsid w:val="00D656F9"/>
    <w:rsid w:val="00D67EDD"/>
    <w:rsid w:val="00D753EE"/>
    <w:rsid w:val="00D7667C"/>
    <w:rsid w:val="00D809EB"/>
    <w:rsid w:val="00D817B8"/>
    <w:rsid w:val="00D87930"/>
    <w:rsid w:val="00D902C5"/>
    <w:rsid w:val="00D922B3"/>
    <w:rsid w:val="00D96DCD"/>
    <w:rsid w:val="00DA0258"/>
    <w:rsid w:val="00DA4517"/>
    <w:rsid w:val="00DA6095"/>
    <w:rsid w:val="00DB385D"/>
    <w:rsid w:val="00DC3C98"/>
    <w:rsid w:val="00DC7C97"/>
    <w:rsid w:val="00DC7F20"/>
    <w:rsid w:val="00DD2F75"/>
    <w:rsid w:val="00DD6394"/>
    <w:rsid w:val="00DE2CCC"/>
    <w:rsid w:val="00DE3F96"/>
    <w:rsid w:val="00DE4114"/>
    <w:rsid w:val="00DE41FB"/>
    <w:rsid w:val="00E05AC7"/>
    <w:rsid w:val="00E07FDC"/>
    <w:rsid w:val="00E13542"/>
    <w:rsid w:val="00E22B50"/>
    <w:rsid w:val="00E22DCB"/>
    <w:rsid w:val="00E24930"/>
    <w:rsid w:val="00E32DA7"/>
    <w:rsid w:val="00E3342B"/>
    <w:rsid w:val="00E36870"/>
    <w:rsid w:val="00E43450"/>
    <w:rsid w:val="00E579E2"/>
    <w:rsid w:val="00E62E31"/>
    <w:rsid w:val="00E65680"/>
    <w:rsid w:val="00E65A90"/>
    <w:rsid w:val="00E65E31"/>
    <w:rsid w:val="00E67930"/>
    <w:rsid w:val="00E7464F"/>
    <w:rsid w:val="00E83C0E"/>
    <w:rsid w:val="00E84FE5"/>
    <w:rsid w:val="00E8646B"/>
    <w:rsid w:val="00E8743A"/>
    <w:rsid w:val="00E91ADB"/>
    <w:rsid w:val="00EA2B22"/>
    <w:rsid w:val="00EA480E"/>
    <w:rsid w:val="00EA517D"/>
    <w:rsid w:val="00EA6B77"/>
    <w:rsid w:val="00EA7017"/>
    <w:rsid w:val="00EB1B51"/>
    <w:rsid w:val="00EB523B"/>
    <w:rsid w:val="00ED358B"/>
    <w:rsid w:val="00ED4E19"/>
    <w:rsid w:val="00EE0A8C"/>
    <w:rsid w:val="00EE5125"/>
    <w:rsid w:val="00EE5755"/>
    <w:rsid w:val="00EF3783"/>
    <w:rsid w:val="00EF5A5B"/>
    <w:rsid w:val="00F008CD"/>
    <w:rsid w:val="00F06054"/>
    <w:rsid w:val="00F108AD"/>
    <w:rsid w:val="00F1400E"/>
    <w:rsid w:val="00F16D70"/>
    <w:rsid w:val="00F27192"/>
    <w:rsid w:val="00F272A2"/>
    <w:rsid w:val="00F27CDB"/>
    <w:rsid w:val="00F32BB3"/>
    <w:rsid w:val="00F4070A"/>
    <w:rsid w:val="00F410F3"/>
    <w:rsid w:val="00F413B8"/>
    <w:rsid w:val="00F45A70"/>
    <w:rsid w:val="00F509E0"/>
    <w:rsid w:val="00F50D8A"/>
    <w:rsid w:val="00F53B6C"/>
    <w:rsid w:val="00F55640"/>
    <w:rsid w:val="00F556C7"/>
    <w:rsid w:val="00F5759C"/>
    <w:rsid w:val="00F57AD0"/>
    <w:rsid w:val="00F6555C"/>
    <w:rsid w:val="00F822F3"/>
    <w:rsid w:val="00F87269"/>
    <w:rsid w:val="00F9018B"/>
    <w:rsid w:val="00F955F6"/>
    <w:rsid w:val="00F96885"/>
    <w:rsid w:val="00FA4ECA"/>
    <w:rsid w:val="00FB2C86"/>
    <w:rsid w:val="00FB3D6A"/>
    <w:rsid w:val="00FB7D60"/>
    <w:rsid w:val="00FC3C22"/>
    <w:rsid w:val="00FC76EC"/>
    <w:rsid w:val="00FC7E2F"/>
    <w:rsid w:val="00FC7F9B"/>
    <w:rsid w:val="00FE1E97"/>
    <w:rsid w:val="00FE21D5"/>
    <w:rsid w:val="00FE3C8C"/>
    <w:rsid w:val="00FE4D83"/>
    <w:rsid w:val="00FE4F59"/>
    <w:rsid w:val="00FF21CA"/>
    <w:rsid w:val="00FF283B"/>
    <w:rsid w:val="00FF3D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04E4"/>
  <w15:chartTrackingRefBased/>
  <w15:docId w15:val="{E7C82B46-DBF1-4BD6-898F-74F3E2F1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50"/>
    <w:pPr>
      <w:spacing w:after="0" w:line="216" w:lineRule="auto"/>
    </w:pPr>
    <w:rPr>
      <w:color w:val="373A36" w:themeColor="text2"/>
      <w:sz w:val="24"/>
    </w:rPr>
  </w:style>
  <w:style w:type="paragraph" w:styleId="Heading1">
    <w:name w:val="heading 1"/>
    <w:basedOn w:val="Normal"/>
    <w:next w:val="Normal"/>
    <w:link w:val="Heading1Char"/>
    <w:uiPriority w:val="9"/>
    <w:qFormat/>
    <w:rsid w:val="00477240"/>
    <w:pPr>
      <w:keepNext/>
      <w:keepLines/>
      <w:spacing w:line="240" w:lineRule="auto"/>
      <w:outlineLvl w:val="0"/>
    </w:pPr>
    <w:rPr>
      <w:rFonts w:asciiTheme="majorHAnsi" w:eastAsiaTheme="majorEastAsia" w:hAnsiTheme="majorHAnsi" w:cstheme="majorBidi"/>
      <w:b/>
      <w:color w:val="FA4616" w:themeColor="accent1"/>
      <w:sz w:val="48"/>
      <w:szCs w:val="32"/>
    </w:rPr>
  </w:style>
  <w:style w:type="paragraph" w:styleId="Heading2">
    <w:name w:val="heading 2"/>
    <w:basedOn w:val="Normal"/>
    <w:next w:val="Normal"/>
    <w:link w:val="Heading2Char"/>
    <w:uiPriority w:val="9"/>
    <w:unhideWhenUsed/>
    <w:qFormat/>
    <w:rsid w:val="00477240"/>
    <w:pPr>
      <w:keepNext/>
      <w:keepLines/>
      <w:outlineLvl w:val="1"/>
    </w:pPr>
    <w:rPr>
      <w:rFonts w:asciiTheme="majorHAnsi" w:eastAsiaTheme="majorEastAsia" w:hAnsiTheme="majorHAnsi" w:cstheme="majorBidi"/>
      <w:b/>
      <w:sz w:val="48"/>
      <w:szCs w:val="26"/>
    </w:rPr>
  </w:style>
  <w:style w:type="paragraph" w:styleId="Heading3">
    <w:name w:val="heading 3"/>
    <w:basedOn w:val="Normal"/>
    <w:next w:val="Normal"/>
    <w:link w:val="Heading3Char"/>
    <w:uiPriority w:val="9"/>
    <w:unhideWhenUsed/>
    <w:qFormat/>
    <w:rsid w:val="006E2C5E"/>
    <w:pPr>
      <w:keepNext/>
      <w:keepLines/>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orizontalline">
    <w:name w:val="Orange horizontal line"/>
    <w:basedOn w:val="Normal"/>
    <w:qFormat/>
    <w:rsid w:val="006E2C5E"/>
    <w:pPr>
      <w:pBdr>
        <w:bottom w:val="single" w:sz="48" w:space="1" w:color="FA4616" w:themeColor="accent1"/>
      </w:pBdr>
      <w:spacing w:after="180"/>
    </w:pPr>
    <w:rPr>
      <w:sz w:val="44"/>
    </w:rPr>
  </w:style>
  <w:style w:type="character" w:customStyle="1" w:styleId="Heading1Char">
    <w:name w:val="Heading 1 Char"/>
    <w:basedOn w:val="DefaultParagraphFont"/>
    <w:link w:val="Heading1"/>
    <w:uiPriority w:val="9"/>
    <w:rsid w:val="00477240"/>
    <w:rPr>
      <w:rFonts w:asciiTheme="majorHAnsi" w:eastAsiaTheme="majorEastAsia" w:hAnsiTheme="majorHAnsi" w:cstheme="majorBidi"/>
      <w:b/>
      <w:color w:val="FA4616" w:themeColor="accent1"/>
      <w:sz w:val="48"/>
      <w:szCs w:val="32"/>
    </w:rPr>
  </w:style>
  <w:style w:type="character" w:customStyle="1" w:styleId="Heading2Char">
    <w:name w:val="Heading 2 Char"/>
    <w:basedOn w:val="DefaultParagraphFont"/>
    <w:link w:val="Heading2"/>
    <w:uiPriority w:val="9"/>
    <w:rsid w:val="00477240"/>
    <w:rPr>
      <w:rFonts w:asciiTheme="majorHAnsi" w:eastAsiaTheme="majorEastAsia" w:hAnsiTheme="majorHAnsi" w:cstheme="majorBidi"/>
      <w:b/>
      <w:color w:val="373A36" w:themeColor="text2"/>
      <w:sz w:val="48"/>
      <w:szCs w:val="26"/>
    </w:rPr>
  </w:style>
  <w:style w:type="character" w:customStyle="1" w:styleId="Heading3Char">
    <w:name w:val="Heading 3 Char"/>
    <w:basedOn w:val="DefaultParagraphFont"/>
    <w:link w:val="Heading3"/>
    <w:uiPriority w:val="9"/>
    <w:rsid w:val="006E2C5E"/>
    <w:rPr>
      <w:rFonts w:asciiTheme="majorHAnsi" w:eastAsiaTheme="majorEastAsia" w:hAnsiTheme="majorHAnsi" w:cstheme="majorBidi"/>
      <w:b/>
      <w:color w:val="373A36" w:themeColor="text2"/>
      <w:sz w:val="24"/>
      <w:szCs w:val="24"/>
    </w:rPr>
  </w:style>
  <w:style w:type="paragraph" w:customStyle="1" w:styleId="Introparagraph">
    <w:name w:val="Intro paragraph"/>
    <w:basedOn w:val="Normal"/>
    <w:qFormat/>
    <w:rsid w:val="00E22B50"/>
    <w:pPr>
      <w:spacing w:after="360"/>
    </w:pPr>
    <w:rPr>
      <w:b/>
      <w:sz w:val="32"/>
    </w:rPr>
  </w:style>
  <w:style w:type="paragraph" w:styleId="Header">
    <w:name w:val="header"/>
    <w:basedOn w:val="Normal"/>
    <w:link w:val="HeaderChar"/>
    <w:uiPriority w:val="99"/>
    <w:unhideWhenUsed/>
    <w:rsid w:val="006E2C5E"/>
    <w:pPr>
      <w:tabs>
        <w:tab w:val="center" w:pos="4513"/>
        <w:tab w:val="right" w:pos="9026"/>
      </w:tabs>
    </w:pPr>
  </w:style>
  <w:style w:type="character" w:customStyle="1" w:styleId="HeaderChar">
    <w:name w:val="Header Char"/>
    <w:basedOn w:val="DefaultParagraphFont"/>
    <w:link w:val="Header"/>
    <w:uiPriority w:val="99"/>
    <w:rsid w:val="006E2C5E"/>
    <w:rPr>
      <w:sz w:val="24"/>
    </w:rPr>
  </w:style>
  <w:style w:type="paragraph" w:styleId="Footer">
    <w:name w:val="footer"/>
    <w:basedOn w:val="Normal"/>
    <w:link w:val="FooterChar"/>
    <w:uiPriority w:val="99"/>
    <w:unhideWhenUsed/>
    <w:rsid w:val="006E2C5E"/>
    <w:pPr>
      <w:tabs>
        <w:tab w:val="center" w:pos="4513"/>
        <w:tab w:val="right" w:pos="9026"/>
      </w:tabs>
    </w:pPr>
  </w:style>
  <w:style w:type="character" w:customStyle="1" w:styleId="FooterChar">
    <w:name w:val="Footer Char"/>
    <w:basedOn w:val="DefaultParagraphFont"/>
    <w:link w:val="Footer"/>
    <w:uiPriority w:val="99"/>
    <w:rsid w:val="006E2C5E"/>
    <w:rPr>
      <w:sz w:val="24"/>
    </w:rPr>
  </w:style>
  <w:style w:type="paragraph" w:styleId="BodyText">
    <w:name w:val="Body Text"/>
    <w:basedOn w:val="Normal"/>
    <w:link w:val="BodyTextChar"/>
    <w:uiPriority w:val="99"/>
    <w:unhideWhenUsed/>
    <w:rsid w:val="00E22B50"/>
    <w:pPr>
      <w:spacing w:after="240"/>
    </w:pPr>
  </w:style>
  <w:style w:type="character" w:customStyle="1" w:styleId="BodyTextChar">
    <w:name w:val="Body Text Char"/>
    <w:basedOn w:val="DefaultParagraphFont"/>
    <w:link w:val="BodyText"/>
    <w:uiPriority w:val="99"/>
    <w:rsid w:val="00E22B50"/>
    <w:rPr>
      <w:color w:val="373A36" w:themeColor="text2"/>
      <w:sz w:val="24"/>
    </w:rPr>
  </w:style>
  <w:style w:type="paragraph" w:customStyle="1" w:styleId="OrangeSubheader2">
    <w:name w:val="Orange Subheader 2"/>
    <w:basedOn w:val="OrangeSub-header"/>
    <w:qFormat/>
    <w:rsid w:val="00E22B50"/>
    <w:pPr>
      <w:numPr>
        <w:ilvl w:val="1"/>
      </w:numPr>
      <w:ind w:left="454" w:hanging="454"/>
    </w:pPr>
  </w:style>
  <w:style w:type="paragraph" w:customStyle="1" w:styleId="OrangeSub-header">
    <w:name w:val="Orange Sub-header"/>
    <w:basedOn w:val="Normal"/>
    <w:qFormat/>
    <w:rsid w:val="00E22B50"/>
    <w:pPr>
      <w:numPr>
        <w:numId w:val="1"/>
      </w:numPr>
      <w:ind w:left="454" w:hanging="454"/>
    </w:pPr>
    <w:rPr>
      <w:b/>
      <w:color w:val="FA4616" w:themeColor="accent1"/>
    </w:rPr>
  </w:style>
  <w:style w:type="table" w:styleId="TableGrid">
    <w:name w:val="Table Grid"/>
    <w:basedOn w:val="TableNormal"/>
    <w:uiPriority w:val="39"/>
    <w:rsid w:val="00F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Orange">
    <w:name w:val="Cover Title (Orange)"/>
    <w:basedOn w:val="Normal"/>
    <w:qFormat/>
    <w:rsid w:val="004E029A"/>
    <w:rPr>
      <w:b/>
      <w:color w:val="FA4616" w:themeColor="accent1"/>
      <w:sz w:val="68"/>
    </w:rPr>
  </w:style>
  <w:style w:type="paragraph" w:customStyle="1" w:styleId="CoverTitleGrey">
    <w:name w:val="Cover Title (Grey)"/>
    <w:basedOn w:val="Normal"/>
    <w:qFormat/>
    <w:rsid w:val="0058723C"/>
    <w:rPr>
      <w:b/>
      <w:sz w:val="68"/>
    </w:rPr>
  </w:style>
  <w:style w:type="paragraph" w:customStyle="1" w:styleId="CoverSubtitleOrange">
    <w:name w:val="Cover Subtitle (Orange)"/>
    <w:basedOn w:val="Normal"/>
    <w:qFormat/>
    <w:rsid w:val="004E029A"/>
    <w:rPr>
      <w:b/>
      <w:color w:val="FA4616" w:themeColor="accent1"/>
      <w:sz w:val="32"/>
    </w:rPr>
  </w:style>
  <w:style w:type="paragraph" w:customStyle="1" w:styleId="CoverSubtitleGrey">
    <w:name w:val="Cover Subtitle (Grey)"/>
    <w:basedOn w:val="Normal"/>
    <w:qFormat/>
    <w:rsid w:val="004E029A"/>
    <w:rPr>
      <w:sz w:val="32"/>
    </w:rPr>
  </w:style>
  <w:style w:type="paragraph" w:styleId="BalloonText">
    <w:name w:val="Balloon Text"/>
    <w:basedOn w:val="Normal"/>
    <w:link w:val="BalloonTextChar"/>
    <w:uiPriority w:val="99"/>
    <w:semiHidden/>
    <w:unhideWhenUsed/>
    <w:rsid w:val="00A76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B9"/>
    <w:rPr>
      <w:rFonts w:ascii="Segoe UI" w:hAnsi="Segoe UI" w:cs="Segoe UI"/>
      <w:color w:val="373A36" w:themeColor="text2"/>
      <w:sz w:val="18"/>
      <w:szCs w:val="18"/>
    </w:rPr>
  </w:style>
  <w:style w:type="paragraph" w:customStyle="1" w:styleId="BulletedText">
    <w:name w:val="Bulleted Text"/>
    <w:basedOn w:val="Normal"/>
    <w:qFormat/>
    <w:rsid w:val="00A767B9"/>
    <w:pPr>
      <w:numPr>
        <w:numId w:val="2"/>
      </w:numPr>
      <w:spacing w:after="240"/>
      <w:ind w:left="340" w:hanging="340"/>
    </w:pPr>
  </w:style>
  <w:style w:type="table" w:styleId="GridTable4-Accent1">
    <w:name w:val="Grid Table 4 Accent 1"/>
    <w:basedOn w:val="TableNormal"/>
    <w:uiPriority w:val="49"/>
    <w:rsid w:val="00A767B9"/>
    <w:pPr>
      <w:spacing w:after="0" w:line="240" w:lineRule="auto"/>
    </w:pPr>
    <w:tblPr>
      <w:tblStyleRowBandSize w:val="1"/>
      <w:tblStyleColBandSize w:val="1"/>
      <w:tblBorders>
        <w:top w:val="single" w:sz="4" w:space="0" w:color="FC8F73" w:themeColor="accent1" w:themeTint="99"/>
        <w:left w:val="single" w:sz="4" w:space="0" w:color="FC8F73" w:themeColor="accent1" w:themeTint="99"/>
        <w:bottom w:val="single" w:sz="4" w:space="0" w:color="FC8F73" w:themeColor="accent1" w:themeTint="99"/>
        <w:right w:val="single" w:sz="4" w:space="0" w:color="FC8F73" w:themeColor="accent1" w:themeTint="99"/>
        <w:insideH w:val="single" w:sz="4" w:space="0" w:color="FC8F73" w:themeColor="accent1" w:themeTint="99"/>
        <w:insideV w:val="single" w:sz="4" w:space="0" w:color="FC8F73" w:themeColor="accent1" w:themeTint="99"/>
      </w:tblBorders>
    </w:tblPr>
    <w:tblStylePr w:type="firstRow">
      <w:rPr>
        <w:b/>
        <w:bCs/>
        <w:color w:val="FFFFFF" w:themeColor="background1"/>
      </w:rPr>
      <w:tblPr/>
      <w:tcPr>
        <w:tcBorders>
          <w:top w:val="single" w:sz="4" w:space="0" w:color="FA4616" w:themeColor="accent1"/>
          <w:left w:val="single" w:sz="4" w:space="0" w:color="FA4616" w:themeColor="accent1"/>
          <w:bottom w:val="single" w:sz="4" w:space="0" w:color="FA4616" w:themeColor="accent1"/>
          <w:right w:val="single" w:sz="4" w:space="0" w:color="FA4616" w:themeColor="accent1"/>
          <w:insideH w:val="nil"/>
          <w:insideV w:val="nil"/>
        </w:tcBorders>
        <w:shd w:val="clear" w:color="auto" w:fill="FA4616" w:themeFill="accent1"/>
      </w:tcPr>
    </w:tblStylePr>
    <w:tblStylePr w:type="lastRow">
      <w:rPr>
        <w:b/>
        <w:bCs/>
      </w:rPr>
      <w:tblPr/>
      <w:tcPr>
        <w:tcBorders>
          <w:top w:val="double" w:sz="4" w:space="0" w:color="FA4616" w:themeColor="accent1"/>
        </w:tcBorders>
      </w:tcPr>
    </w:tblStylePr>
    <w:tblStylePr w:type="firstCol">
      <w:rPr>
        <w:b/>
        <w:bCs/>
      </w:rPr>
    </w:tblStylePr>
    <w:tblStylePr w:type="lastCol">
      <w:rPr>
        <w:b/>
        <w:bCs/>
      </w:rPr>
    </w:tblStylePr>
    <w:tblStylePr w:type="band1Vert">
      <w:tblPr/>
      <w:tcPr>
        <w:shd w:val="clear" w:color="auto" w:fill="FED9D0" w:themeFill="accent1" w:themeFillTint="33"/>
      </w:tcPr>
    </w:tblStylePr>
    <w:tblStylePr w:type="band1Horz">
      <w:tblPr/>
      <w:tcPr>
        <w:shd w:val="clear" w:color="auto" w:fill="FED9D0" w:themeFill="accent1" w:themeFillTint="33"/>
      </w:tcPr>
    </w:tblStylePr>
  </w:style>
  <w:style w:type="table" w:customStyle="1" w:styleId="Table1">
    <w:name w:val="Table 1"/>
    <w:basedOn w:val="TableNormal"/>
    <w:uiPriority w:val="99"/>
    <w:rsid w:val="00CF2926"/>
    <w:pPr>
      <w:spacing w:after="0" w:line="240" w:lineRule="auto"/>
    </w:pPr>
    <w:rPr>
      <w:sz w:val="20"/>
    </w:r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tblStylePr w:type="firstRow">
      <w:rPr>
        <w:b/>
        <w:color w:val="FFFFFF" w:themeColor="background1"/>
      </w:rPr>
      <w:tblPr/>
      <w:tcPr>
        <w:shd w:val="clear" w:color="auto" w:fill="FA4616" w:themeFill="accent1"/>
      </w:tcPr>
    </w:tblStylePr>
    <w:tblStylePr w:type="firstCol">
      <w:tblPr/>
      <w:tcPr>
        <w:shd w:val="clear" w:color="auto" w:fill="FA4616" w:themeFill="accent1"/>
      </w:tcPr>
    </w:tblStylePr>
    <w:tblStylePr w:type="band1Vert">
      <w:rPr>
        <w:color w:val="C3E1F5"/>
      </w:rPr>
      <w:tblPr/>
      <w:tcPr>
        <w:shd w:val="clear" w:color="auto" w:fill="E1F0FA"/>
      </w:tcPr>
    </w:tblStylePr>
    <w:tblStylePr w:type="band2Vert">
      <w:tblPr/>
      <w:tcPr>
        <w:shd w:val="clear" w:color="auto" w:fill="C3E1F5"/>
      </w:tcPr>
    </w:tblStylePr>
  </w:style>
  <w:style w:type="paragraph" w:customStyle="1" w:styleId="ChartTitle">
    <w:name w:val="Chart Title"/>
    <w:basedOn w:val="Normal"/>
    <w:qFormat/>
    <w:rsid w:val="00B471A1"/>
    <w:rPr>
      <w:b/>
      <w:color w:val="FA4616" w:themeColor="accent1"/>
      <w:sz w:val="20"/>
    </w:rPr>
  </w:style>
  <w:style w:type="paragraph" w:customStyle="1" w:styleId="ChartSubtitle">
    <w:name w:val="Chart Subtitle"/>
    <w:basedOn w:val="Normal"/>
    <w:qFormat/>
    <w:rsid w:val="00B471A1"/>
    <w:rPr>
      <w:sz w:val="20"/>
    </w:rPr>
  </w:style>
  <w:style w:type="character" w:styleId="BookTitle">
    <w:name w:val="Book Title"/>
    <w:basedOn w:val="DefaultParagraphFont"/>
    <w:uiPriority w:val="33"/>
    <w:qFormat/>
    <w:rsid w:val="00037612"/>
    <w:rPr>
      <w:b/>
      <w:bCs/>
      <w:i/>
      <w:iCs/>
      <w:spacing w:val="5"/>
    </w:rPr>
  </w:style>
  <w:style w:type="paragraph" w:styleId="ListParagraph">
    <w:name w:val="List Paragraph"/>
    <w:basedOn w:val="Normal"/>
    <w:uiPriority w:val="34"/>
    <w:qFormat/>
    <w:rsid w:val="00390FE2"/>
    <w:pPr>
      <w:ind w:left="720"/>
      <w:contextualSpacing/>
    </w:pPr>
  </w:style>
  <w:style w:type="character" w:styleId="Hyperlink">
    <w:name w:val="Hyperlink"/>
    <w:basedOn w:val="DefaultParagraphFont"/>
    <w:uiPriority w:val="99"/>
    <w:unhideWhenUsed/>
    <w:rsid w:val="000573F6"/>
    <w:rPr>
      <w:color w:val="0563C1" w:themeColor="hyperlink"/>
      <w:u w:val="single"/>
    </w:rPr>
  </w:style>
  <w:style w:type="character" w:styleId="UnresolvedMention">
    <w:name w:val="Unresolved Mention"/>
    <w:basedOn w:val="DefaultParagraphFont"/>
    <w:uiPriority w:val="99"/>
    <w:semiHidden/>
    <w:unhideWhenUsed/>
    <w:rsid w:val="000573F6"/>
    <w:rPr>
      <w:color w:val="605E5C"/>
      <w:shd w:val="clear" w:color="auto" w:fill="E1DFDD"/>
    </w:rPr>
  </w:style>
  <w:style w:type="paragraph" w:customStyle="1" w:styleId="Default">
    <w:name w:val="Default"/>
    <w:rsid w:val="00D113D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iPiPBody">
    <w:name w:val="iPiP Body"/>
    <w:qFormat/>
    <w:rsid w:val="00D113D7"/>
    <w:pPr>
      <w:spacing w:before="240" w:after="240" w:line="240" w:lineRule="auto"/>
      <w:ind w:left="27"/>
    </w:pPr>
    <w:rPr>
      <w:rFonts w:ascii="Calibri" w:eastAsia="Calibri" w:hAnsi="Calibri" w:cs="Calibri"/>
      <w:color w:val="000000"/>
      <w:lang w:eastAsia="en-GB"/>
    </w:rPr>
  </w:style>
  <w:style w:type="paragraph" w:styleId="FootnoteText">
    <w:name w:val="footnote text"/>
    <w:basedOn w:val="Normal"/>
    <w:link w:val="FootnoteTextChar"/>
    <w:uiPriority w:val="99"/>
    <w:semiHidden/>
    <w:unhideWhenUsed/>
    <w:rsid w:val="00087B5B"/>
    <w:pPr>
      <w:spacing w:line="240" w:lineRule="auto"/>
    </w:pPr>
    <w:rPr>
      <w:sz w:val="20"/>
      <w:szCs w:val="20"/>
    </w:rPr>
  </w:style>
  <w:style w:type="character" w:customStyle="1" w:styleId="FootnoteTextChar">
    <w:name w:val="Footnote Text Char"/>
    <w:basedOn w:val="DefaultParagraphFont"/>
    <w:link w:val="FootnoteText"/>
    <w:uiPriority w:val="99"/>
    <w:semiHidden/>
    <w:rsid w:val="00087B5B"/>
    <w:rPr>
      <w:color w:val="373A36" w:themeColor="text2"/>
      <w:sz w:val="20"/>
      <w:szCs w:val="20"/>
    </w:rPr>
  </w:style>
  <w:style w:type="character" w:styleId="FootnoteReference">
    <w:name w:val="footnote reference"/>
    <w:basedOn w:val="DefaultParagraphFont"/>
    <w:uiPriority w:val="99"/>
    <w:semiHidden/>
    <w:unhideWhenUsed/>
    <w:rsid w:val="00087B5B"/>
    <w:rPr>
      <w:vertAlign w:val="superscript"/>
    </w:rPr>
  </w:style>
  <w:style w:type="character" w:styleId="CommentReference">
    <w:name w:val="annotation reference"/>
    <w:basedOn w:val="DefaultParagraphFont"/>
    <w:uiPriority w:val="99"/>
    <w:semiHidden/>
    <w:unhideWhenUsed/>
    <w:rsid w:val="0089447F"/>
    <w:rPr>
      <w:sz w:val="16"/>
      <w:szCs w:val="16"/>
    </w:rPr>
  </w:style>
  <w:style w:type="paragraph" w:styleId="CommentText">
    <w:name w:val="annotation text"/>
    <w:basedOn w:val="Normal"/>
    <w:link w:val="CommentTextChar"/>
    <w:uiPriority w:val="99"/>
    <w:unhideWhenUsed/>
    <w:rsid w:val="0089447F"/>
    <w:pPr>
      <w:spacing w:line="240" w:lineRule="auto"/>
    </w:pPr>
    <w:rPr>
      <w:sz w:val="20"/>
      <w:szCs w:val="20"/>
    </w:rPr>
  </w:style>
  <w:style w:type="character" w:customStyle="1" w:styleId="CommentTextChar">
    <w:name w:val="Comment Text Char"/>
    <w:basedOn w:val="DefaultParagraphFont"/>
    <w:link w:val="CommentText"/>
    <w:uiPriority w:val="99"/>
    <w:rsid w:val="0089447F"/>
    <w:rPr>
      <w:color w:val="373A36" w:themeColor="text2"/>
      <w:sz w:val="20"/>
      <w:szCs w:val="20"/>
    </w:rPr>
  </w:style>
  <w:style w:type="paragraph" w:styleId="CommentSubject">
    <w:name w:val="annotation subject"/>
    <w:basedOn w:val="CommentText"/>
    <w:next w:val="CommentText"/>
    <w:link w:val="CommentSubjectChar"/>
    <w:uiPriority w:val="99"/>
    <w:semiHidden/>
    <w:unhideWhenUsed/>
    <w:rsid w:val="0089447F"/>
    <w:rPr>
      <w:b/>
      <w:bCs/>
    </w:rPr>
  </w:style>
  <w:style w:type="character" w:customStyle="1" w:styleId="CommentSubjectChar">
    <w:name w:val="Comment Subject Char"/>
    <w:basedOn w:val="CommentTextChar"/>
    <w:link w:val="CommentSubject"/>
    <w:uiPriority w:val="99"/>
    <w:semiHidden/>
    <w:rsid w:val="0089447F"/>
    <w:rPr>
      <w:b/>
      <w:bCs/>
      <w:color w:val="373A36" w:themeColor="text2"/>
      <w:sz w:val="20"/>
      <w:szCs w:val="20"/>
    </w:rPr>
  </w:style>
  <w:style w:type="paragraph" w:styleId="Revision">
    <w:name w:val="Revision"/>
    <w:hidden/>
    <w:uiPriority w:val="99"/>
    <w:semiHidden/>
    <w:rsid w:val="00EF5A5B"/>
    <w:pPr>
      <w:spacing w:after="0" w:line="240" w:lineRule="auto"/>
    </w:pPr>
    <w:rPr>
      <w:color w:val="373A36" w:themeColor="text2"/>
      <w:sz w:val="24"/>
    </w:rPr>
  </w:style>
  <w:style w:type="paragraph" w:customStyle="1" w:styleId="bodytext0">
    <w:name w:val="_bodytext"/>
    <w:basedOn w:val="Normal"/>
    <w:qFormat/>
    <w:rsid w:val="008F16CA"/>
    <w:pPr>
      <w:spacing w:before="100" w:after="100" w:line="276" w:lineRule="auto"/>
    </w:pPr>
    <w:rPr>
      <w:rFonts w:eastAsiaTheme="minorHAnsi" w:cs="Arial"/>
      <w:color w:val="auto"/>
      <w:sz w:val="22"/>
      <w:lang w:eastAsia="en-US"/>
    </w:rPr>
  </w:style>
  <w:style w:type="character" w:customStyle="1" w:styleId="cf01">
    <w:name w:val="cf01"/>
    <w:basedOn w:val="DefaultParagraphFont"/>
    <w:rsid w:val="000C3C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931">
      <w:bodyDiv w:val="1"/>
      <w:marLeft w:val="0"/>
      <w:marRight w:val="0"/>
      <w:marTop w:val="0"/>
      <w:marBottom w:val="0"/>
      <w:divBdr>
        <w:top w:val="none" w:sz="0" w:space="0" w:color="auto"/>
        <w:left w:val="none" w:sz="0" w:space="0" w:color="auto"/>
        <w:bottom w:val="none" w:sz="0" w:space="0" w:color="auto"/>
        <w:right w:val="none" w:sz="0" w:space="0" w:color="auto"/>
      </w:divBdr>
    </w:div>
    <w:div w:id="99106201">
      <w:bodyDiv w:val="1"/>
      <w:marLeft w:val="0"/>
      <w:marRight w:val="0"/>
      <w:marTop w:val="0"/>
      <w:marBottom w:val="0"/>
      <w:divBdr>
        <w:top w:val="none" w:sz="0" w:space="0" w:color="auto"/>
        <w:left w:val="none" w:sz="0" w:space="0" w:color="auto"/>
        <w:bottom w:val="none" w:sz="0" w:space="0" w:color="auto"/>
        <w:right w:val="none" w:sz="0" w:space="0" w:color="auto"/>
      </w:divBdr>
    </w:div>
    <w:div w:id="272518005">
      <w:bodyDiv w:val="1"/>
      <w:marLeft w:val="0"/>
      <w:marRight w:val="0"/>
      <w:marTop w:val="0"/>
      <w:marBottom w:val="0"/>
      <w:divBdr>
        <w:top w:val="none" w:sz="0" w:space="0" w:color="auto"/>
        <w:left w:val="none" w:sz="0" w:space="0" w:color="auto"/>
        <w:bottom w:val="none" w:sz="0" w:space="0" w:color="auto"/>
        <w:right w:val="none" w:sz="0" w:space="0" w:color="auto"/>
      </w:divBdr>
      <w:divsChild>
        <w:div w:id="2095005457">
          <w:marLeft w:val="0"/>
          <w:marRight w:val="0"/>
          <w:marTop w:val="0"/>
          <w:marBottom w:val="0"/>
          <w:divBdr>
            <w:top w:val="none" w:sz="0" w:space="0" w:color="auto"/>
            <w:left w:val="none" w:sz="0" w:space="0" w:color="auto"/>
            <w:bottom w:val="none" w:sz="0" w:space="0" w:color="auto"/>
            <w:right w:val="none" w:sz="0" w:space="0" w:color="auto"/>
          </w:divBdr>
        </w:div>
        <w:div w:id="464664747">
          <w:marLeft w:val="0"/>
          <w:marRight w:val="0"/>
          <w:marTop w:val="0"/>
          <w:marBottom w:val="0"/>
          <w:divBdr>
            <w:top w:val="none" w:sz="0" w:space="0" w:color="auto"/>
            <w:left w:val="none" w:sz="0" w:space="0" w:color="auto"/>
            <w:bottom w:val="none" w:sz="0" w:space="0" w:color="auto"/>
            <w:right w:val="none" w:sz="0" w:space="0" w:color="auto"/>
          </w:divBdr>
        </w:div>
        <w:div w:id="440221039">
          <w:marLeft w:val="0"/>
          <w:marRight w:val="0"/>
          <w:marTop w:val="0"/>
          <w:marBottom w:val="0"/>
          <w:divBdr>
            <w:top w:val="none" w:sz="0" w:space="0" w:color="auto"/>
            <w:left w:val="none" w:sz="0" w:space="0" w:color="auto"/>
            <w:bottom w:val="none" w:sz="0" w:space="0" w:color="auto"/>
            <w:right w:val="none" w:sz="0" w:space="0" w:color="auto"/>
          </w:divBdr>
        </w:div>
        <w:div w:id="1870296872">
          <w:marLeft w:val="0"/>
          <w:marRight w:val="0"/>
          <w:marTop w:val="0"/>
          <w:marBottom w:val="0"/>
          <w:divBdr>
            <w:top w:val="none" w:sz="0" w:space="0" w:color="auto"/>
            <w:left w:val="none" w:sz="0" w:space="0" w:color="auto"/>
            <w:bottom w:val="none" w:sz="0" w:space="0" w:color="auto"/>
            <w:right w:val="none" w:sz="0" w:space="0" w:color="auto"/>
          </w:divBdr>
        </w:div>
        <w:div w:id="1172375855">
          <w:marLeft w:val="0"/>
          <w:marRight w:val="0"/>
          <w:marTop w:val="0"/>
          <w:marBottom w:val="0"/>
          <w:divBdr>
            <w:top w:val="none" w:sz="0" w:space="0" w:color="auto"/>
            <w:left w:val="none" w:sz="0" w:space="0" w:color="auto"/>
            <w:bottom w:val="none" w:sz="0" w:space="0" w:color="auto"/>
            <w:right w:val="none" w:sz="0" w:space="0" w:color="auto"/>
          </w:divBdr>
        </w:div>
        <w:div w:id="1669137583">
          <w:marLeft w:val="0"/>
          <w:marRight w:val="0"/>
          <w:marTop w:val="0"/>
          <w:marBottom w:val="0"/>
          <w:divBdr>
            <w:top w:val="none" w:sz="0" w:space="0" w:color="auto"/>
            <w:left w:val="none" w:sz="0" w:space="0" w:color="auto"/>
            <w:bottom w:val="none" w:sz="0" w:space="0" w:color="auto"/>
            <w:right w:val="none" w:sz="0" w:space="0" w:color="auto"/>
          </w:divBdr>
        </w:div>
        <w:div w:id="373580030">
          <w:marLeft w:val="0"/>
          <w:marRight w:val="0"/>
          <w:marTop w:val="0"/>
          <w:marBottom w:val="0"/>
          <w:divBdr>
            <w:top w:val="none" w:sz="0" w:space="0" w:color="auto"/>
            <w:left w:val="none" w:sz="0" w:space="0" w:color="auto"/>
            <w:bottom w:val="none" w:sz="0" w:space="0" w:color="auto"/>
            <w:right w:val="none" w:sz="0" w:space="0" w:color="auto"/>
          </w:divBdr>
        </w:div>
      </w:divsChild>
    </w:div>
    <w:div w:id="336738002">
      <w:bodyDiv w:val="1"/>
      <w:marLeft w:val="0"/>
      <w:marRight w:val="0"/>
      <w:marTop w:val="0"/>
      <w:marBottom w:val="0"/>
      <w:divBdr>
        <w:top w:val="none" w:sz="0" w:space="0" w:color="auto"/>
        <w:left w:val="none" w:sz="0" w:space="0" w:color="auto"/>
        <w:bottom w:val="none" w:sz="0" w:space="0" w:color="auto"/>
        <w:right w:val="none" w:sz="0" w:space="0" w:color="auto"/>
      </w:divBdr>
    </w:div>
    <w:div w:id="485167026">
      <w:bodyDiv w:val="1"/>
      <w:marLeft w:val="0"/>
      <w:marRight w:val="0"/>
      <w:marTop w:val="0"/>
      <w:marBottom w:val="0"/>
      <w:divBdr>
        <w:top w:val="none" w:sz="0" w:space="0" w:color="auto"/>
        <w:left w:val="none" w:sz="0" w:space="0" w:color="auto"/>
        <w:bottom w:val="none" w:sz="0" w:space="0" w:color="auto"/>
        <w:right w:val="none" w:sz="0" w:space="0" w:color="auto"/>
      </w:divBdr>
    </w:div>
    <w:div w:id="486677057">
      <w:bodyDiv w:val="1"/>
      <w:marLeft w:val="0"/>
      <w:marRight w:val="0"/>
      <w:marTop w:val="0"/>
      <w:marBottom w:val="0"/>
      <w:divBdr>
        <w:top w:val="none" w:sz="0" w:space="0" w:color="auto"/>
        <w:left w:val="none" w:sz="0" w:space="0" w:color="auto"/>
        <w:bottom w:val="none" w:sz="0" w:space="0" w:color="auto"/>
        <w:right w:val="none" w:sz="0" w:space="0" w:color="auto"/>
      </w:divBdr>
      <w:divsChild>
        <w:div w:id="1997565152">
          <w:marLeft w:val="0"/>
          <w:marRight w:val="0"/>
          <w:marTop w:val="0"/>
          <w:marBottom w:val="0"/>
          <w:divBdr>
            <w:top w:val="none" w:sz="0" w:space="0" w:color="auto"/>
            <w:left w:val="none" w:sz="0" w:space="0" w:color="auto"/>
            <w:bottom w:val="none" w:sz="0" w:space="0" w:color="auto"/>
            <w:right w:val="none" w:sz="0" w:space="0" w:color="auto"/>
          </w:divBdr>
        </w:div>
        <w:div w:id="85074894">
          <w:marLeft w:val="0"/>
          <w:marRight w:val="0"/>
          <w:marTop w:val="0"/>
          <w:marBottom w:val="0"/>
          <w:divBdr>
            <w:top w:val="none" w:sz="0" w:space="0" w:color="auto"/>
            <w:left w:val="none" w:sz="0" w:space="0" w:color="auto"/>
            <w:bottom w:val="none" w:sz="0" w:space="0" w:color="auto"/>
            <w:right w:val="none" w:sz="0" w:space="0" w:color="auto"/>
          </w:divBdr>
        </w:div>
        <w:div w:id="598099383">
          <w:marLeft w:val="0"/>
          <w:marRight w:val="0"/>
          <w:marTop w:val="0"/>
          <w:marBottom w:val="0"/>
          <w:divBdr>
            <w:top w:val="none" w:sz="0" w:space="0" w:color="auto"/>
            <w:left w:val="none" w:sz="0" w:space="0" w:color="auto"/>
            <w:bottom w:val="none" w:sz="0" w:space="0" w:color="auto"/>
            <w:right w:val="none" w:sz="0" w:space="0" w:color="auto"/>
          </w:divBdr>
        </w:div>
        <w:div w:id="582103044">
          <w:marLeft w:val="0"/>
          <w:marRight w:val="0"/>
          <w:marTop w:val="0"/>
          <w:marBottom w:val="0"/>
          <w:divBdr>
            <w:top w:val="none" w:sz="0" w:space="0" w:color="auto"/>
            <w:left w:val="none" w:sz="0" w:space="0" w:color="auto"/>
            <w:bottom w:val="none" w:sz="0" w:space="0" w:color="auto"/>
            <w:right w:val="none" w:sz="0" w:space="0" w:color="auto"/>
          </w:divBdr>
        </w:div>
      </w:divsChild>
    </w:div>
    <w:div w:id="634071125">
      <w:bodyDiv w:val="1"/>
      <w:marLeft w:val="0"/>
      <w:marRight w:val="0"/>
      <w:marTop w:val="0"/>
      <w:marBottom w:val="0"/>
      <w:divBdr>
        <w:top w:val="none" w:sz="0" w:space="0" w:color="auto"/>
        <w:left w:val="none" w:sz="0" w:space="0" w:color="auto"/>
        <w:bottom w:val="none" w:sz="0" w:space="0" w:color="auto"/>
        <w:right w:val="none" w:sz="0" w:space="0" w:color="auto"/>
      </w:divBdr>
    </w:div>
    <w:div w:id="653990435">
      <w:bodyDiv w:val="1"/>
      <w:marLeft w:val="0"/>
      <w:marRight w:val="0"/>
      <w:marTop w:val="0"/>
      <w:marBottom w:val="0"/>
      <w:divBdr>
        <w:top w:val="none" w:sz="0" w:space="0" w:color="auto"/>
        <w:left w:val="none" w:sz="0" w:space="0" w:color="auto"/>
        <w:bottom w:val="none" w:sz="0" w:space="0" w:color="auto"/>
        <w:right w:val="none" w:sz="0" w:space="0" w:color="auto"/>
      </w:divBdr>
    </w:div>
    <w:div w:id="755126123">
      <w:bodyDiv w:val="1"/>
      <w:marLeft w:val="0"/>
      <w:marRight w:val="0"/>
      <w:marTop w:val="0"/>
      <w:marBottom w:val="0"/>
      <w:divBdr>
        <w:top w:val="none" w:sz="0" w:space="0" w:color="auto"/>
        <w:left w:val="none" w:sz="0" w:space="0" w:color="auto"/>
        <w:bottom w:val="none" w:sz="0" w:space="0" w:color="auto"/>
        <w:right w:val="none" w:sz="0" w:space="0" w:color="auto"/>
      </w:divBdr>
    </w:div>
    <w:div w:id="855769186">
      <w:bodyDiv w:val="1"/>
      <w:marLeft w:val="0"/>
      <w:marRight w:val="0"/>
      <w:marTop w:val="0"/>
      <w:marBottom w:val="0"/>
      <w:divBdr>
        <w:top w:val="none" w:sz="0" w:space="0" w:color="auto"/>
        <w:left w:val="none" w:sz="0" w:space="0" w:color="auto"/>
        <w:bottom w:val="none" w:sz="0" w:space="0" w:color="auto"/>
        <w:right w:val="none" w:sz="0" w:space="0" w:color="auto"/>
      </w:divBdr>
      <w:divsChild>
        <w:div w:id="1331251767">
          <w:marLeft w:val="0"/>
          <w:marRight w:val="0"/>
          <w:marTop w:val="0"/>
          <w:marBottom w:val="0"/>
          <w:divBdr>
            <w:top w:val="none" w:sz="0" w:space="0" w:color="auto"/>
            <w:left w:val="none" w:sz="0" w:space="0" w:color="auto"/>
            <w:bottom w:val="none" w:sz="0" w:space="0" w:color="auto"/>
            <w:right w:val="none" w:sz="0" w:space="0" w:color="auto"/>
          </w:divBdr>
        </w:div>
        <w:div w:id="1280331469">
          <w:marLeft w:val="0"/>
          <w:marRight w:val="0"/>
          <w:marTop w:val="0"/>
          <w:marBottom w:val="0"/>
          <w:divBdr>
            <w:top w:val="none" w:sz="0" w:space="0" w:color="auto"/>
            <w:left w:val="none" w:sz="0" w:space="0" w:color="auto"/>
            <w:bottom w:val="none" w:sz="0" w:space="0" w:color="auto"/>
            <w:right w:val="none" w:sz="0" w:space="0" w:color="auto"/>
          </w:divBdr>
        </w:div>
        <w:div w:id="605846855">
          <w:marLeft w:val="0"/>
          <w:marRight w:val="0"/>
          <w:marTop w:val="0"/>
          <w:marBottom w:val="0"/>
          <w:divBdr>
            <w:top w:val="none" w:sz="0" w:space="0" w:color="auto"/>
            <w:left w:val="none" w:sz="0" w:space="0" w:color="auto"/>
            <w:bottom w:val="none" w:sz="0" w:space="0" w:color="auto"/>
            <w:right w:val="none" w:sz="0" w:space="0" w:color="auto"/>
          </w:divBdr>
        </w:div>
        <w:div w:id="1041786224">
          <w:marLeft w:val="0"/>
          <w:marRight w:val="0"/>
          <w:marTop w:val="0"/>
          <w:marBottom w:val="0"/>
          <w:divBdr>
            <w:top w:val="none" w:sz="0" w:space="0" w:color="auto"/>
            <w:left w:val="none" w:sz="0" w:space="0" w:color="auto"/>
            <w:bottom w:val="none" w:sz="0" w:space="0" w:color="auto"/>
            <w:right w:val="none" w:sz="0" w:space="0" w:color="auto"/>
          </w:divBdr>
        </w:div>
        <w:div w:id="1543863701">
          <w:marLeft w:val="0"/>
          <w:marRight w:val="0"/>
          <w:marTop w:val="0"/>
          <w:marBottom w:val="0"/>
          <w:divBdr>
            <w:top w:val="none" w:sz="0" w:space="0" w:color="auto"/>
            <w:left w:val="none" w:sz="0" w:space="0" w:color="auto"/>
            <w:bottom w:val="none" w:sz="0" w:space="0" w:color="auto"/>
            <w:right w:val="none" w:sz="0" w:space="0" w:color="auto"/>
          </w:divBdr>
        </w:div>
        <w:div w:id="572206889">
          <w:marLeft w:val="0"/>
          <w:marRight w:val="0"/>
          <w:marTop w:val="0"/>
          <w:marBottom w:val="0"/>
          <w:divBdr>
            <w:top w:val="none" w:sz="0" w:space="0" w:color="auto"/>
            <w:left w:val="none" w:sz="0" w:space="0" w:color="auto"/>
            <w:bottom w:val="none" w:sz="0" w:space="0" w:color="auto"/>
            <w:right w:val="none" w:sz="0" w:space="0" w:color="auto"/>
          </w:divBdr>
        </w:div>
        <w:div w:id="307443330">
          <w:marLeft w:val="0"/>
          <w:marRight w:val="0"/>
          <w:marTop w:val="0"/>
          <w:marBottom w:val="0"/>
          <w:divBdr>
            <w:top w:val="none" w:sz="0" w:space="0" w:color="auto"/>
            <w:left w:val="none" w:sz="0" w:space="0" w:color="auto"/>
            <w:bottom w:val="none" w:sz="0" w:space="0" w:color="auto"/>
            <w:right w:val="none" w:sz="0" w:space="0" w:color="auto"/>
          </w:divBdr>
        </w:div>
      </w:divsChild>
    </w:div>
    <w:div w:id="1010988896">
      <w:bodyDiv w:val="1"/>
      <w:marLeft w:val="0"/>
      <w:marRight w:val="0"/>
      <w:marTop w:val="0"/>
      <w:marBottom w:val="0"/>
      <w:divBdr>
        <w:top w:val="none" w:sz="0" w:space="0" w:color="auto"/>
        <w:left w:val="none" w:sz="0" w:space="0" w:color="auto"/>
        <w:bottom w:val="none" w:sz="0" w:space="0" w:color="auto"/>
        <w:right w:val="none" w:sz="0" w:space="0" w:color="auto"/>
      </w:divBdr>
    </w:div>
    <w:div w:id="1371493046">
      <w:bodyDiv w:val="1"/>
      <w:marLeft w:val="0"/>
      <w:marRight w:val="0"/>
      <w:marTop w:val="0"/>
      <w:marBottom w:val="0"/>
      <w:divBdr>
        <w:top w:val="none" w:sz="0" w:space="0" w:color="auto"/>
        <w:left w:val="none" w:sz="0" w:space="0" w:color="auto"/>
        <w:bottom w:val="none" w:sz="0" w:space="0" w:color="auto"/>
        <w:right w:val="none" w:sz="0" w:space="0" w:color="auto"/>
      </w:divBdr>
    </w:div>
    <w:div w:id="1493058698">
      <w:bodyDiv w:val="1"/>
      <w:marLeft w:val="0"/>
      <w:marRight w:val="0"/>
      <w:marTop w:val="0"/>
      <w:marBottom w:val="0"/>
      <w:divBdr>
        <w:top w:val="none" w:sz="0" w:space="0" w:color="auto"/>
        <w:left w:val="none" w:sz="0" w:space="0" w:color="auto"/>
        <w:bottom w:val="none" w:sz="0" w:space="0" w:color="auto"/>
        <w:right w:val="none" w:sz="0" w:space="0" w:color="auto"/>
      </w:divBdr>
    </w:div>
    <w:div w:id="1622954870">
      <w:bodyDiv w:val="1"/>
      <w:marLeft w:val="0"/>
      <w:marRight w:val="0"/>
      <w:marTop w:val="0"/>
      <w:marBottom w:val="0"/>
      <w:divBdr>
        <w:top w:val="none" w:sz="0" w:space="0" w:color="auto"/>
        <w:left w:val="none" w:sz="0" w:space="0" w:color="auto"/>
        <w:bottom w:val="none" w:sz="0" w:space="0" w:color="auto"/>
        <w:right w:val="none" w:sz="0" w:space="0" w:color="auto"/>
      </w:divBdr>
    </w:div>
    <w:div w:id="1871262874">
      <w:bodyDiv w:val="1"/>
      <w:marLeft w:val="0"/>
      <w:marRight w:val="0"/>
      <w:marTop w:val="0"/>
      <w:marBottom w:val="0"/>
      <w:divBdr>
        <w:top w:val="none" w:sz="0" w:space="0" w:color="auto"/>
        <w:left w:val="none" w:sz="0" w:space="0" w:color="auto"/>
        <w:bottom w:val="none" w:sz="0" w:space="0" w:color="auto"/>
        <w:right w:val="none" w:sz="0" w:space="0" w:color="auto"/>
      </w:divBdr>
    </w:div>
    <w:div w:id="2127772689">
      <w:bodyDiv w:val="1"/>
      <w:marLeft w:val="0"/>
      <w:marRight w:val="0"/>
      <w:marTop w:val="0"/>
      <w:marBottom w:val="0"/>
      <w:divBdr>
        <w:top w:val="none" w:sz="0" w:space="0" w:color="auto"/>
        <w:left w:val="none" w:sz="0" w:space="0" w:color="auto"/>
        <w:bottom w:val="none" w:sz="0" w:space="0" w:color="auto"/>
        <w:right w:val="none" w:sz="0" w:space="0" w:color="auto"/>
      </w:divBdr>
      <w:divsChild>
        <w:div w:id="1884243886">
          <w:marLeft w:val="0"/>
          <w:marRight w:val="0"/>
          <w:marTop w:val="0"/>
          <w:marBottom w:val="0"/>
          <w:divBdr>
            <w:top w:val="none" w:sz="0" w:space="0" w:color="auto"/>
            <w:left w:val="none" w:sz="0" w:space="0" w:color="auto"/>
            <w:bottom w:val="none" w:sz="0" w:space="0" w:color="auto"/>
            <w:right w:val="none" w:sz="0" w:space="0" w:color="auto"/>
          </w:divBdr>
        </w:div>
        <w:div w:id="136608877">
          <w:marLeft w:val="0"/>
          <w:marRight w:val="0"/>
          <w:marTop w:val="0"/>
          <w:marBottom w:val="0"/>
          <w:divBdr>
            <w:top w:val="none" w:sz="0" w:space="0" w:color="auto"/>
            <w:left w:val="none" w:sz="0" w:space="0" w:color="auto"/>
            <w:bottom w:val="none" w:sz="0" w:space="0" w:color="auto"/>
            <w:right w:val="none" w:sz="0" w:space="0" w:color="auto"/>
          </w:divBdr>
        </w:div>
        <w:div w:id="512306416">
          <w:marLeft w:val="0"/>
          <w:marRight w:val="0"/>
          <w:marTop w:val="0"/>
          <w:marBottom w:val="0"/>
          <w:divBdr>
            <w:top w:val="none" w:sz="0" w:space="0" w:color="auto"/>
            <w:left w:val="none" w:sz="0" w:space="0" w:color="auto"/>
            <w:bottom w:val="none" w:sz="0" w:space="0" w:color="auto"/>
            <w:right w:val="none" w:sz="0" w:space="0" w:color="auto"/>
          </w:divBdr>
        </w:div>
        <w:div w:id="38614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ymca.org.uk%2Fwp-content%2Fuploads%2F2024%2F04%2Fymca-trapped-cost-of-living-Apr2024.pdf&amp;data=05%7C02%7Cemma.turnbull%40cadentgas.com%7Cad1e695cb4b8456d74a808dc6e659c75%7Cde0d74aa99144bb99235fbefe83b1769%7C0%7C0%7C638506630240288891%7CUnknown%7CTWFpbGZsb3d8eyJWIjoiMC4wLjAwMDAiLCJQIjoiV2luMzIiLCJBTiI6Ik1haWwiLCJXVCI6Mn0%3D%7C0%7C%7C%7C&amp;sdata=OpfWr%2F3To99%2F7EwMkyfJVobkVQSiFxksuNbPj4wgj0c%3D&amp;reserved=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br01.safelinks.protection.outlook.com/?url=https%3A%2F%2Fwww.ymca.org.uk%2Fwp-content%2Fuploads%2F2023%2F08%2Fymca-breaking-barriers-to-work-2023-digital.pdf&amp;data=05%7C02%7Cemma.turnbull%40cadentgas.com%7Cad1e695cb4b8456d74a808dc6e659c75%7Cde0d74aa99144bb99235fbefe83b1769%7C0%7C0%7C638506630240308021%7CUnknown%7CTWFpbGZsb3d8eyJWIjoiMC4wLjAwMDAiLCJQIjoiV2luMzIiLCJBTiI6Ik1haWwiLCJXVCI6Mn0%3D%7C0%7C%7C%7C&amp;sdata=BnlO9FsPLc6nUu0CrvxgQSm0NLH5dlSeV3ameIRgZQs%3D&amp;reserved=0"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entgas.com/nggdwsdev/media/Downloads/about/PEA-YMCA-Safe-and-Well-Communities-PEA-Published-October-2023.pdf" TargetMode="Externa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ymca.org.uk%2Fwp-content%2Fuploads%2F2023%2F08%2Fymca-breaking-barriers-to-work-2023-digital.pdf&amp;data=05%7C02%7Cemma.turnbull%40cadentgas.com%7Cad1e695cb4b8456d74a808dc6e659c75%7Cde0d74aa99144bb99235fbefe83b1769%7C0%7C0%7C638506630240300685%7CUnknown%7CTWFpbGZsb3d8eyJWIjoiMC4wLjAwMDAiLCJQIjoiV2luMzIiLCJBTiI6Ik1haWwiLCJXVCI6Mn0%3D%7C0%7C%7C%7C&amp;sdata=eFESW3qdHpxJsg0PM1o1snax%2F%2Fpbvss%2Bd6erEM9opo0%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13:50:45.994"/>
    </inkml:context>
    <inkml:brush xml:id="br0">
      <inkml:brushProperty name="width" value="0.025" units="cm"/>
      <inkml:brushProperty name="height" value="0.025" units="cm"/>
    </inkml:brush>
  </inkml:definitions>
  <inkml:trace contextRef="#ctx0" brushRef="#br0">1082 230 24575,'0'7'0,"1"9"0,-1 0 0,0 1 0,-2-1 0,0 0 0,0-1 0,-1 1 0,-1 0 0,-9 21 0,-16 18 0,-3-2 0,-62 81 0,45-68 0,-180 220 0,44-61 0,159-191 0,2 0 0,1 2 0,1 0 0,3 2 0,-19 47 0,35-71 0,12-29 0,76-151 0,48-88 0,186-225 0,-119 189 0,-184 267 0,74-107 0,-71 106 0,0 1 0,2 0 0,28-23 0,-46 44 0,0-1 0,0 1 0,0 0 0,1 0 0,-1 0 0,0 0 0,1 0 0,-1 1 0,1-1 0,0 1 0,-1 0 0,1 0 0,0 1 0,0-1 0,0 1 0,-1 0 0,1 0 0,6 0 0,-4 2 0,1 0 0,-1 0 0,0 1 0,0 0 0,0 0 0,0 0 0,-1 1 0,1-1 0,-1 1 0,6 7 0,28 27 0,-1 2 0,54 77 0,-56-71 0,-33-42 0,1 1 0,-1-1 0,0 1 0,0 0 0,-1 0 0,1 0 0,-1 0 0,0 1 0,-1-1 0,3 11 0,-4-12 0,0 1 0,0 0 0,-1-1 0,1 1 0,-1 0 0,0-1 0,-1 1 0,1-1 0,-1 1 0,1-1 0,-1 0 0,0 0 0,-4 6 0,-12 15 0,0 0 0,-2-1 0,0-1 0,-38 32 0,-104 70 0,112-91 0,-2-3 0,-2-1 0,-67 25 0,-177 45 0,262-88 0,0 2 0,-51 28 0,20-9 0,65-32 0,1 0 0,-1 0 0,0-1 0,1 1 0,-1 0 0,0-1 0,0 1 0,1-1 0,-1 0 0,0 1 0,0-1 0,0 0 0,0 0 0,1 0 0,-1 0 0,0-1 0,0 1 0,0 0 0,0-1 0,-2-1 0,3 1 0,0 0 0,0 0 0,0 0 0,0-1 0,0 1 0,1-1 0,-1 1 0,0-1 0,1 1 0,0 0 0,-1-1 0,1 0 0,0 1 0,-1-1 0,1 1 0,0-1 0,0 1 0,1-1 0,-1 1 0,0-1 0,0 0 0,1 1 0,-1-1 0,2-2 0,1-6 0,0-1 0,1 1 0,1 0 0,0 0 0,0 0 0,1 0 0,0 1 0,10-11 0,67-66 0,-74 77 0,286-235 0,25 20 0,-185 131 0,-114 78 0,-15 10 0,1 0 0,-1 1 0,1 0 0,0 0 0,-1 0 0,11-3 0,-16 7 0,0 0 0,-1-1 0,1 1 0,-1 0 0,1 0 0,0 0 0,-1 0 0,1 0 0,0 0 0,-1 0 0,1 0 0,-1 1 0,1-1 0,0 0 0,-1 0 0,1 0 0,-1 1 0,1-1 0,-1 0 0,1 1 0,-1-1 0,1 0 0,-1 1 0,1-1 0,-1 1 0,1-1 0,-1 1 0,0-1 0,1 1 0,-1-1 0,0 1 0,1-1 0,-1 1 0,0-1 0,1 2 0,1 4 0,-1-1 0,0 1 0,0 0 0,0-1 0,0 1 0,-1 0 0,0 0 0,0 0 0,-1 8 0,-14 62 0,14-72 0,-24 91-65,-40 97 1,-52 94-188,-19 51 79,106-243 173,29-89 0,0-1 0,0 1 0,1-1 0,-1 1 0,1-1 0,0 1 0,0-1 0,2 7 0,-2-11 0,0 1 0,0-1 0,0 1 0,0-1 0,1 0 0,-1 1 0,0-1 0,0 1 0,1-1 0,-1 0 0,0 1 0,1-1 0,-1 0 0,0 1 0,1-1 0,-1 0 0,1 1 0,-1-1 0,0 0 0,1 0 0,-1 1 0,1-1 0,-1 0 0,1 0 0,-1 0 0,1 0 0,-1 0 0,1 0 0,0 0 0,1 0 0,0 0 0,0-1 0,-1 1 0,1-1 0,0 0 0,0 1 0,0-1 0,0 0 0,-1 0 0,1-1 0,2-1 0,11-9 0,0 0 0,-1-2 0,16-19 0,42-58 0,-58 72 0,427-655-1054,-196 195 1579,-225 435-525,-14 38 0,-3 10 0,-2 6 2,-1-1-1,0 1 1,-1-1 0,0 0 0,0 1 0,-6 16 0,2-1 165,-55 222 463,9-38-357,49-201-273,1 0 0,0 0 0,0 1 0,1 14 0,0-22 0,0 0 0,0 1 0,1-1 0,-1 0 0,0 0 0,0 0 0,1 0 0,-1 0 0,1 0 0,-1 0 0,1 0 0,-1 0 0,1 0 0,0 0 0,-1 0 0,1-1 0,0 1 0,0 1 0,0-2 0,1 0 0,-1 1 0,0-1 0,0 0 0,0 0 0,0 0 0,0 1 0,0-1 0,0 0 0,0-1 0,0 1 0,1 0 0,-1 0 0,0 0 0,0-1 0,0 1 0,0 0 0,0-1 0,0 1 0,0-1 0,0 1 0,1-2 0,4-2 0,1-1 0,-1 1 0,0-1 0,0-1 0,0 1 0,-1-1 0,8-11 0,30-51 0,-33 51 0,6-13 0,-11 19 0,1 0 0,1 0 0,-1 1 0,11-11 0,-17 20 0,0 1 0,0 0 0,0-1 0,1 1 0,-1 0 0,0-1 0,0 1 0,1 0 0,-1 0 0,0-1 0,1 1 0,-1 0 0,0 0 0,1 0 0,-1-1 0,0 1 0,1 0 0,-1 0 0,0 0 0,1 0 0,-1 0 0,1 0 0,-1 0 0,0 0 0,1 0 0,-1 0 0,0 0 0,1 0 0,-1 0 0,1 0 0,-1 0 0,0 0 0,1 0 0,-1 1 0,0-1 0,1 0 0,-1 0 0,0 0 0,1 1 0,-1-1 0,0 0 0,1 0 0,-1 1 0,0-1 0,0 0 0,1 0 0,-1 1 0,0-1 0,0 0 0,0 1 0,1 0 0,2 8 0,0 0 0,-1 1 0,0-1 0,0 1 0,-1-1 0,-1 1 0,0 14 0,2 11 0,1 12 0,2 29 0,2 0 0,29 121 0,-33-187 0,0 0 0,1-1 0,0 1 0,1 0 0,0-1 0,0 0 0,7 8 0,-11-15 0,0 0 0,1-1 0,-1 1 0,0-1 0,1 1 0,-1-1 0,1 0 0,-1 1 0,1-1 0,0 0 0,0 0 0,0 0 0,-1-1 0,1 1 0,0 0 0,0-1 0,0 1 0,0-1 0,0 1 0,0-1 0,0 0 0,0 0 0,0 0 0,0 0 0,0 0 0,0-1 0,0 1 0,0 0 0,0-1 0,0 0 0,0 1 0,0-1 0,0 0 0,0 0 0,-1 0 0,1 0 0,0 0 0,-1-1 0,1 1 0,1-2 0,2-2 0,-1 1 0,0-1 0,-1 1 0,1-1 0,-1 0 0,0 0 0,0-1 0,-1 1 0,1 0 0,-1-1 0,2-7 0,0-9 0,5-37 0,-8 47 0,2-10 0,-2 0 0,0 0 0,-1 1 0,-6-40 0,4 52 0,0-1 0,-1 0 0,0 1 0,0-1 0,-1 1 0,-1 0 0,1 0 0,-1 0 0,-1 1 0,0 0 0,0 0 0,-13-13 0,6 10 0,-1 1 0,-1 0 0,0 1 0,0 0 0,0 1 0,-1 1 0,0 1 0,-1 0 0,0 1 0,-30-5 0,-6 2 0,-1 3 0,-61 1 0,56 5 0,43 2 0,14 0 0,23 3 0,31 1 0,66 0 0,-69-5 0,-1 1 0,60 12 0,-89-9 0,0 1 0,0 0 0,-1 1 0,0 1 0,0 1 0,29 22 0,-40-26 0,-1-1 0,0 1 0,-1 1 0,1-1 0,-1 1 0,0 0 0,-1 0 0,0 0 0,0 1 0,0 0 0,-1-1 0,0 1 0,-1 1 0,0-1 0,0 0 0,1 14 0,-1 1 0,0 0 0,-2 1 0,-1-1 0,-6 42 0,3-48 0,0 1 0,-1-1 0,-1 0 0,-1 0 0,-17 30 0,-55 73 0,75-115 0,-3 5 0,-2-1 0,1 1 0,-1-2 0,0 1 0,-1-2 0,0 1 0,0-1 0,-1 0 0,0-1 0,0-1 0,0 0 0,-1 0 0,0-1 0,-18 4 0,-13 1 0,-1-3 0,-78 2 0,106-8 0,-136 4-222,-184-18-1,259 5 134,-1-3 0,2-4 0,0-3 0,-103-40 0,90 20-151,-84-51-1,-124-92-2419,8-12-1500</inkml:trace>
</inkml:ink>
</file>

<file path=word/theme/theme1.xml><?xml version="1.0" encoding="utf-8"?>
<a:theme xmlns:a="http://schemas.openxmlformats.org/drawingml/2006/main" name="Office Theme">
  <a:themeElements>
    <a:clrScheme name="Custom 615">
      <a:dk1>
        <a:sysClr val="windowText" lastClr="000000"/>
      </a:dk1>
      <a:lt1>
        <a:sysClr val="window" lastClr="FFFFFF"/>
      </a:lt1>
      <a:dk2>
        <a:srgbClr val="373A36"/>
      </a:dk2>
      <a:lt2>
        <a:srgbClr val="E7E6E6"/>
      </a:lt2>
      <a:accent1>
        <a:srgbClr val="FA461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5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e889b6d-7be0-466f-ad1d-e94c5979a3b8">
      <Terms xmlns="http://schemas.microsoft.com/office/infopath/2007/PartnerControls"/>
    </lcf76f155ced4ddcb4097134ff3c332f>
    <TaxCatchAll xmlns="70311360-be71-4183-93af-eef5c1ec3767" xsi:nil="true"/>
    <Number xmlns="ae889b6d-7be0-466f-ad1d-e94c5979a3b8">10</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226B6FDCCE646A3AB3F630B5D19D5" ma:contentTypeVersion="20" ma:contentTypeDescription="Create a new document." ma:contentTypeScope="" ma:versionID="ee3a1e6734ab3e3e1fd5e99f49b47dbe">
  <xsd:schema xmlns:xsd="http://www.w3.org/2001/XMLSchema" xmlns:xs="http://www.w3.org/2001/XMLSchema" xmlns:p="http://schemas.microsoft.com/office/2006/metadata/properties" xmlns:ns2="ae889b6d-7be0-466f-ad1d-e94c5979a3b8" xmlns:ns3="9d2ab44b-79c3-4262-8ba2-854ff5aae44d" xmlns:ns4="70311360-be71-4183-93af-eef5c1ec3767" targetNamespace="http://schemas.microsoft.com/office/2006/metadata/properties" ma:root="true" ma:fieldsID="aad607ee35c142f7432a3c1fffb9eaed" ns2:_="" ns3:_="" ns4:_="">
    <xsd:import namespace="ae889b6d-7be0-466f-ad1d-e94c5979a3b8"/>
    <xsd:import namespace="9d2ab44b-79c3-4262-8ba2-854ff5aae44d"/>
    <xsd:import namespace="70311360-be71-4183-93af-eef5c1ec37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9b6d-7be0-466f-ad1d-e94c5979a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ea5eef-598d-4878-a161-90800c29c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ma:displayName="Number" ma:decimals="0" ma:default="1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2ab44b-79c3-4262-8ba2-854ff5aae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11360-be71-4183-93af-eef5c1ec37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ac288e9-1543-4328-850a-ffdfab2429e5}" ma:internalName="TaxCatchAll" ma:showField="CatchAllData" ma:web="70311360-be71-4183-93af-eef5c1ec3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46663-0762-4D86-956D-93C1C7CBF1DC}">
  <ds:schemaRefs>
    <ds:schemaRef ds:uri="http://schemas.microsoft.com/office/2006/metadata/properties"/>
    <ds:schemaRef ds:uri="f4bd8526-ddc0-4ac1-b6af-1e77411287d6"/>
    <ds:schemaRef ds:uri="http://schemas.microsoft.com/office/infopath/2007/PartnerControls"/>
    <ds:schemaRef ds:uri="a70699f2-e6b7-4206-a0cf-519406b976f3"/>
    <ds:schemaRef ds:uri="ae889b6d-7be0-466f-ad1d-e94c5979a3b8"/>
    <ds:schemaRef ds:uri="70311360-be71-4183-93af-eef5c1ec3767"/>
  </ds:schemaRefs>
</ds:datastoreItem>
</file>

<file path=customXml/itemProps2.xml><?xml version="1.0" encoding="utf-8"?>
<ds:datastoreItem xmlns:ds="http://schemas.openxmlformats.org/officeDocument/2006/customXml" ds:itemID="{533595A5-834B-4A0A-A126-0F75258C555E}">
  <ds:schemaRefs>
    <ds:schemaRef ds:uri="http://schemas.microsoft.com/sharepoint/v3/contenttype/forms"/>
  </ds:schemaRefs>
</ds:datastoreItem>
</file>

<file path=customXml/itemProps3.xml><?xml version="1.0" encoding="utf-8"?>
<ds:datastoreItem xmlns:ds="http://schemas.openxmlformats.org/officeDocument/2006/customXml" ds:itemID="{970A3C62-054A-421C-8F5A-73F87ABB0BD2}">
  <ds:schemaRefs>
    <ds:schemaRef ds:uri="http://schemas.openxmlformats.org/officeDocument/2006/bibliography"/>
  </ds:schemaRefs>
</ds:datastoreItem>
</file>

<file path=customXml/itemProps4.xml><?xml version="1.0" encoding="utf-8"?>
<ds:datastoreItem xmlns:ds="http://schemas.openxmlformats.org/officeDocument/2006/customXml" ds:itemID="{170E1487-E11D-43AB-8D13-C04B3D74F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9b6d-7be0-466f-ad1d-e94c5979a3b8"/>
    <ds:schemaRef ds:uri="9d2ab44b-79c3-4262-8ba2-854ff5aae44d"/>
    <ds:schemaRef ds:uri="70311360-be71-4183-93af-eef5c1ec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d3b1ff-8e30-4ec8-8ee9-c267371956dd}" enabled="0" method="" siteId="{2cd3b1ff-8e30-4ec8-8ee9-c267371956d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3282</Words>
  <Characters>22145</Characters>
  <Application>Microsoft Office Word</Application>
  <DocSecurity>4</DocSecurity>
  <Lines>184</Lines>
  <Paragraphs>50</Paragraphs>
  <ScaleCrop>false</ScaleCrop>
  <HeadingPairs>
    <vt:vector size="2" baseType="variant">
      <vt:variant>
        <vt:lpstr>Title</vt:lpstr>
      </vt:variant>
      <vt:variant>
        <vt:i4>1</vt:i4>
      </vt:variant>
    </vt:vector>
  </HeadingPairs>
  <TitlesOfParts>
    <vt:vector size="1" baseType="lpstr">
      <vt:lpstr>Cadent_Report_Template_One Column_Option3.docx</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Cadent_Report_Template_One Column_Option3.docx</dc:title>
  <dc:subject/>
  <dc:creator>Cadent</dc:creator>
  <cp:keywords/>
  <dc:description/>
  <cp:lastModifiedBy>Turnbull, Emma</cp:lastModifiedBy>
  <cp:revision>2</cp:revision>
  <cp:lastPrinted>2023-10-24T14:57:00Z</cp:lastPrinted>
  <dcterms:created xsi:type="dcterms:W3CDTF">2025-02-05T15:16:00Z</dcterms:created>
  <dcterms:modified xsi:type="dcterms:W3CDTF">2025-02-05T15:16:00Z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0x010100912226B6FDCCE646A3AB3F630B5D19D5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SIP_Label_2b73dd0b-afe1-4a46-943f-1bdb914b8a49_Enabled">
    <vt:lpwstr>true</vt:lpwstr>
  </property>
  <property fmtid="{D5CDD505-2E9C-101B-9397-08002B2CF9AE}" pid="7" name="MSIP_Label_2b73dd0b-afe1-4a46-943f-1bdb914b8a49_SetDate">
    <vt:lpwstr>2023-11-03T13:43:54Z</vt:lpwstr>
  </property>
  <property fmtid="{D5CDD505-2E9C-101B-9397-08002B2CF9AE}" pid="8" name="MSIP_Label_2b73dd0b-afe1-4a46-943f-1bdb914b8a49_Method">
    <vt:lpwstr>Standard</vt:lpwstr>
  </property>
  <property fmtid="{D5CDD505-2E9C-101B-9397-08002B2CF9AE}" pid="9" name="MSIP_Label_2b73dd0b-afe1-4a46-943f-1bdb914b8a49_Name">
    <vt:lpwstr>Internal</vt:lpwstr>
  </property>
  <property fmtid="{D5CDD505-2E9C-101B-9397-08002B2CF9AE}" pid="10" name="MSIP_Label_2b73dd0b-afe1-4a46-943f-1bdb914b8a49_SiteId">
    <vt:lpwstr>b9563cbc-9874-41ab-b448-7e0f61aff3eb</vt:lpwstr>
  </property>
  <property fmtid="{D5CDD505-2E9C-101B-9397-08002B2CF9AE}" pid="11" name="MSIP_Label_2b73dd0b-afe1-4a46-943f-1bdb914b8a49_ActionId">
    <vt:lpwstr>c1194c42-d44b-40a0-a0cc-000019ea7668</vt:lpwstr>
  </property>
  <property fmtid="{D5CDD505-2E9C-101B-9397-08002B2CF9AE}" pid="12" name="MSIP_Label_2b73dd0b-afe1-4a46-943f-1bdb914b8a49_ContentBits">
    <vt:lpwstr>1</vt:lpwstr>
  </property>
  <property fmtid="{D5CDD505-2E9C-101B-9397-08002B2CF9AE}" pid="13" name="MediaServiceImageTags">
    <vt:lpwstr/>
  </property>
  <property fmtid="{D5CDD505-2E9C-101B-9397-08002B2CF9AE}" pid="14" name="GrammarlyDocumentId">
    <vt:lpwstr>43476a1018cf46269efdb035834694baaef79ba9271748a555e03e8a9ebf8eb0</vt:lpwstr>
  </property>
  <property fmtid="{D5CDD505-2E9C-101B-9397-08002B2CF9AE}" pid="15" name="MSIP_Label_4b435a31-4a51-492c-a5f9-db703ab5f2e4_Enabled">
    <vt:lpwstr>true</vt:lpwstr>
  </property>
  <property fmtid="{D5CDD505-2E9C-101B-9397-08002B2CF9AE}" pid="16" name="MSIP_Label_4b435a31-4a51-492c-a5f9-db703ab5f2e4_SetDate">
    <vt:lpwstr>2024-09-12T14:00:58Z</vt:lpwstr>
  </property>
  <property fmtid="{D5CDD505-2E9C-101B-9397-08002B2CF9AE}" pid="17" name="MSIP_Label_4b435a31-4a51-492c-a5f9-db703ab5f2e4_Method">
    <vt:lpwstr>Standard</vt:lpwstr>
  </property>
  <property fmtid="{D5CDD505-2E9C-101B-9397-08002B2CF9AE}" pid="18" name="MSIP_Label_4b435a31-4a51-492c-a5f9-db703ab5f2e4_Name">
    <vt:lpwstr>Cadent - Official</vt:lpwstr>
  </property>
  <property fmtid="{D5CDD505-2E9C-101B-9397-08002B2CF9AE}" pid="19" name="MSIP_Label_4b435a31-4a51-492c-a5f9-db703ab5f2e4_SiteId">
    <vt:lpwstr>de0d74aa-9914-4bb9-9235-fbefe83b1769</vt:lpwstr>
  </property>
  <property fmtid="{D5CDD505-2E9C-101B-9397-08002B2CF9AE}" pid="20" name="MSIP_Label_4b435a31-4a51-492c-a5f9-db703ab5f2e4_ActionId">
    <vt:lpwstr>666ef1ae-e878-4099-9805-7c36897717ec</vt:lpwstr>
  </property>
  <property fmtid="{D5CDD505-2E9C-101B-9397-08002B2CF9AE}" pid="21" name="MSIP_Label_4b435a31-4a51-492c-a5f9-db703ab5f2e4_ContentBits">
    <vt:lpwstr>0</vt:lpwstr>
  </property>
</Properties>
</file>